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4FE6" w14:textId="277F3027" w:rsidR="00876C27" w:rsidRPr="002B2B8B" w:rsidRDefault="00555F8D" w:rsidP="002B2B8B">
      <w:pPr>
        <w:pStyle w:val="Title"/>
      </w:pPr>
      <w:r w:rsidRPr="002B2B8B">
        <w:t>'</w:t>
      </w:r>
      <w:r w:rsidR="0009461A" w:rsidRPr="002B2B8B">
        <w:t xml:space="preserve">Optimizing the use of Existing </w:t>
      </w:r>
      <w:r w:rsidR="007E02AD">
        <w:t>Evidence’</w:t>
      </w:r>
    </w:p>
    <w:p w14:paraId="0CB44FE7" w14:textId="77777777" w:rsidR="0009461A" w:rsidRDefault="0009461A" w:rsidP="00887FF3">
      <w:pPr>
        <w:spacing w:after="0"/>
        <w:rPr>
          <w:sz w:val="32"/>
          <w:szCs w:val="32"/>
        </w:rPr>
      </w:pPr>
    </w:p>
    <w:p w14:paraId="0CB44FE8" w14:textId="386B0934" w:rsidR="002B2B8B" w:rsidRDefault="00565BFC" w:rsidP="008414AB">
      <w:pPr>
        <w:pStyle w:val="Papertitle"/>
      </w:pPr>
      <w:bookmarkStart w:id="0" w:name="_GoBack"/>
      <w:r>
        <w:t>Beyond the metrics: identifying, evidencing and enhancing the less tangible assets of higher education</w:t>
      </w:r>
    </w:p>
    <w:bookmarkEnd w:id="0"/>
    <w:p w14:paraId="0CB44FE9" w14:textId="77777777" w:rsidR="002B2B8B" w:rsidRPr="0009461A" w:rsidRDefault="002B2B8B" w:rsidP="00887FF3">
      <w:pPr>
        <w:spacing w:after="0"/>
        <w:rPr>
          <w:sz w:val="32"/>
          <w:szCs w:val="32"/>
        </w:rPr>
      </w:pPr>
    </w:p>
    <w:p w14:paraId="2FA96C97" w14:textId="77777777" w:rsidR="00565BFC" w:rsidRDefault="00565BFC" w:rsidP="003476C5">
      <w:pPr>
        <w:jc w:val="both"/>
        <w:rPr>
          <w:rFonts w:cs="Arial"/>
        </w:rPr>
      </w:pPr>
      <w:r>
        <w:rPr>
          <w:rFonts w:cs="Arial"/>
          <w:b/>
        </w:rPr>
        <w:t>Dr Alastair Robertson</w:t>
      </w:r>
      <w:r>
        <w:rPr>
          <w:rFonts w:cs="Arial"/>
        </w:rPr>
        <w:t xml:space="preserve">, Director of Teaching and Learning Enhancement, Abertay University </w:t>
      </w:r>
    </w:p>
    <w:p w14:paraId="11B7A850" w14:textId="77777777" w:rsidR="00565BFC" w:rsidRDefault="00565BFC" w:rsidP="003476C5">
      <w:pPr>
        <w:jc w:val="both"/>
        <w:rPr>
          <w:rFonts w:cs="Arial"/>
        </w:rPr>
      </w:pPr>
      <w:r>
        <w:rPr>
          <w:rFonts w:cs="Arial"/>
          <w:b/>
        </w:rPr>
        <w:t>Professor Elizabeth Cleaver</w:t>
      </w:r>
      <w:r>
        <w:rPr>
          <w:rFonts w:cs="Arial"/>
        </w:rPr>
        <w:t>, Director of Learning and Teaching, University of West of England</w:t>
      </w:r>
    </w:p>
    <w:p w14:paraId="4DC0B52A" w14:textId="77777777" w:rsidR="00565BFC" w:rsidRDefault="00565BFC" w:rsidP="003476C5">
      <w:pPr>
        <w:jc w:val="both"/>
        <w:rPr>
          <w:rFonts w:cs="Arial"/>
        </w:rPr>
      </w:pPr>
      <w:r>
        <w:rPr>
          <w:rFonts w:cs="Arial"/>
          <w:b/>
        </w:rPr>
        <w:t>Dr Fiona Smart</w:t>
      </w:r>
      <w:r>
        <w:rPr>
          <w:rFonts w:cs="Arial"/>
        </w:rPr>
        <w:t>, Head of Learning and Teaching Enhancement, Edinburgh Napier University</w:t>
      </w:r>
    </w:p>
    <w:p w14:paraId="74314D7A" w14:textId="44E85517" w:rsidR="00565BFC" w:rsidRDefault="00565BFC" w:rsidP="00565BFC">
      <w:pPr>
        <w:pStyle w:val="Heading1"/>
      </w:pPr>
      <w:r>
        <w:t xml:space="preserve">Introduction </w:t>
      </w:r>
    </w:p>
    <w:p w14:paraId="34E759F2" w14:textId="1146CF4E" w:rsidR="00565BFC" w:rsidRPr="00565BFC" w:rsidRDefault="00565BFC" w:rsidP="00565BFC">
      <w:pPr>
        <w:jc w:val="both"/>
        <w:rPr>
          <w:rStyle w:val="normaltextrun"/>
          <w:rFonts w:cs="Arial"/>
          <w:color w:val="000000"/>
          <w:szCs w:val="22"/>
          <w:shd w:val="clear" w:color="auto" w:fill="FFFFFF"/>
        </w:rPr>
      </w:pPr>
      <w:r w:rsidRPr="00565BFC">
        <w:rPr>
          <w:rFonts w:cs="Arial"/>
          <w:szCs w:val="22"/>
        </w:rPr>
        <w:t xml:space="preserve">The international higher education sector has spent considerable resource trying to measure teaching quality. In the UK, an increased focus on accountability and regulation have been drivers using metric-based quantitative methodologies that rely on proxies such as student satisfaction (NSS), and graduate earnings (LEO). This is </w:t>
      </w:r>
      <w:proofErr w:type="gramStart"/>
      <w:r w:rsidRPr="00565BFC">
        <w:rPr>
          <w:rFonts w:cs="Arial"/>
          <w:szCs w:val="22"/>
        </w:rPr>
        <w:t>despite the fact that</w:t>
      </w:r>
      <w:proofErr w:type="gramEnd"/>
      <w:r w:rsidRPr="00565BFC">
        <w:rPr>
          <w:rFonts w:cs="Arial"/>
          <w:szCs w:val="22"/>
        </w:rPr>
        <w:t xml:space="preserve"> measuring teaching quality is recognised as a wicked problem- it does not simply bo</w:t>
      </w:r>
      <w:r w:rsidR="003476C5">
        <w:rPr>
          <w:rFonts w:cs="Arial"/>
          <w:szCs w:val="22"/>
        </w:rPr>
        <w:t>il down to numerical measures (f</w:t>
      </w:r>
      <w:r w:rsidRPr="00565BFC">
        <w:rPr>
          <w:rFonts w:cs="Arial"/>
          <w:szCs w:val="22"/>
        </w:rPr>
        <w:t xml:space="preserve">or example, Gibbs, 2010). The conclusions of the </w:t>
      </w:r>
      <w:proofErr w:type="gramStart"/>
      <w:r w:rsidRPr="00565BFC">
        <w:rPr>
          <w:rFonts w:cs="Arial"/>
          <w:szCs w:val="22"/>
        </w:rPr>
        <w:t>multimillion pound</w:t>
      </w:r>
      <w:proofErr w:type="gramEnd"/>
      <w:r w:rsidRPr="00565BFC">
        <w:rPr>
          <w:rFonts w:cs="Arial"/>
          <w:szCs w:val="22"/>
        </w:rPr>
        <w:t xml:space="preserve"> HEFCE/ </w:t>
      </w:r>
      <w:proofErr w:type="spellStart"/>
      <w:r w:rsidRPr="00565BFC">
        <w:rPr>
          <w:rFonts w:cs="Arial"/>
          <w:szCs w:val="22"/>
        </w:rPr>
        <w:t>OfS</w:t>
      </w:r>
      <w:proofErr w:type="spellEnd"/>
      <w:r w:rsidRPr="00565BFC">
        <w:rPr>
          <w:rFonts w:cs="Arial"/>
          <w:szCs w:val="22"/>
        </w:rPr>
        <w:t xml:space="preserve"> “Learning Gain” initiative also concurred </w:t>
      </w:r>
      <w:r w:rsidRPr="00565BFC">
        <w:rPr>
          <w:rStyle w:val="normaltextrun"/>
          <w:rFonts w:cs="Arial"/>
          <w:color w:val="000000"/>
          <w:szCs w:val="22"/>
          <w:shd w:val="clear" w:color="auto" w:fill="FFFFFF"/>
        </w:rPr>
        <w:t xml:space="preserve">and questioned the robustness of such approaches. Not everything that is important and valued by higher education is easily measurable or quantifiable- HE has </w:t>
      </w:r>
      <w:proofErr w:type="gramStart"/>
      <w:r w:rsidRPr="00565BFC">
        <w:rPr>
          <w:rStyle w:val="normaltextrun"/>
          <w:rFonts w:cs="Arial"/>
          <w:color w:val="000000"/>
          <w:szCs w:val="22"/>
          <w:shd w:val="clear" w:color="auto" w:fill="FFFFFF"/>
        </w:rPr>
        <w:t>a number of</w:t>
      </w:r>
      <w:proofErr w:type="gramEnd"/>
      <w:r w:rsidRPr="00565BFC">
        <w:rPr>
          <w:rStyle w:val="normaltextrun"/>
          <w:rFonts w:cs="Arial"/>
          <w:color w:val="000000"/>
          <w:szCs w:val="22"/>
          <w:shd w:val="clear" w:color="auto" w:fill="FFFFFF"/>
        </w:rPr>
        <w:t xml:space="preserve"> so-called </w:t>
      </w:r>
      <w:r w:rsidRPr="00565BFC">
        <w:rPr>
          <w:rStyle w:val="normaltextrun"/>
          <w:rFonts w:cs="Arial"/>
          <w:b/>
          <w:color w:val="000000"/>
          <w:szCs w:val="22"/>
          <w:shd w:val="clear" w:color="auto" w:fill="FFFFFF"/>
        </w:rPr>
        <w:t>intangible assets</w:t>
      </w:r>
      <w:r w:rsidRPr="00565BFC">
        <w:rPr>
          <w:rStyle w:val="normaltextrun"/>
          <w:rFonts w:cs="Arial"/>
          <w:color w:val="000000"/>
          <w:szCs w:val="22"/>
          <w:shd w:val="clear" w:color="auto" w:fill="FFFFFF"/>
        </w:rPr>
        <w:t>.</w:t>
      </w:r>
    </w:p>
    <w:p w14:paraId="57609AF8" w14:textId="721E0034" w:rsidR="00565BFC" w:rsidRDefault="00565BFC" w:rsidP="00565BFC">
      <w:pPr>
        <w:jc w:val="both"/>
        <w:rPr>
          <w:rFonts w:cs="Arial"/>
          <w:szCs w:val="22"/>
        </w:rPr>
      </w:pPr>
      <w:r w:rsidRPr="00565BFC">
        <w:rPr>
          <w:b/>
          <w:color w:val="7F7F7F" w:themeColor="text1" w:themeTint="80"/>
          <w:sz w:val="28"/>
        </w:rPr>
        <w:t>Collaborative Cluster project: Beyond the metrics</w:t>
      </w:r>
    </w:p>
    <w:p w14:paraId="08D78642" w14:textId="0B618DBC" w:rsidR="00565BFC" w:rsidRPr="00565BFC" w:rsidRDefault="00565BFC" w:rsidP="00565BFC">
      <w:pPr>
        <w:jc w:val="both"/>
        <w:rPr>
          <w:rFonts w:cs="Arial"/>
          <w:szCs w:val="22"/>
        </w:rPr>
      </w:pPr>
      <w:r>
        <w:rPr>
          <w:rFonts w:cs="Arial"/>
          <w:szCs w:val="22"/>
        </w:rPr>
        <w:t xml:space="preserve">This </w:t>
      </w:r>
      <w:r w:rsidRPr="00565BFC">
        <w:rPr>
          <w:rFonts w:cs="Arial"/>
          <w:szCs w:val="22"/>
        </w:rPr>
        <w:t>project</w:t>
      </w:r>
      <w:r w:rsidR="009A7B89">
        <w:rPr>
          <w:rFonts w:cs="Arial"/>
          <w:szCs w:val="22"/>
        </w:rPr>
        <w:t xml:space="preserve"> </w:t>
      </w:r>
      <w:r w:rsidRPr="00565BFC">
        <w:rPr>
          <w:color w:val="000000" w:themeColor="text1"/>
          <w:szCs w:val="22"/>
        </w:rPr>
        <w:t xml:space="preserve">was funded by QAA Scotland as part of the current national Enhancement Theme “Evidence for Enhancement”. A literature review accompanied by a series of participatory workshops were held across the UK involving academic and professional services staff, senior managers and student representatives, often tagged on to existing network meetings. The aims of the workshops were to consult participants on what aspects of a </w:t>
      </w:r>
      <w:proofErr w:type="gramStart"/>
      <w:r w:rsidRPr="00565BFC">
        <w:rPr>
          <w:color w:val="000000" w:themeColor="text1"/>
          <w:szCs w:val="22"/>
        </w:rPr>
        <w:t>high quality</w:t>
      </w:r>
      <w:proofErr w:type="gramEnd"/>
      <w:r w:rsidRPr="00565BFC">
        <w:rPr>
          <w:color w:val="000000" w:themeColor="text1"/>
          <w:szCs w:val="22"/>
        </w:rPr>
        <w:t xml:space="preserve"> student</w:t>
      </w:r>
      <w:r w:rsidRPr="00565BFC">
        <w:rPr>
          <w:b/>
          <w:color w:val="000000" w:themeColor="text1"/>
          <w:szCs w:val="22"/>
        </w:rPr>
        <w:t xml:space="preserve"> </w:t>
      </w:r>
      <w:r w:rsidRPr="00565BFC">
        <w:rPr>
          <w:color w:val="000000" w:themeColor="text1"/>
          <w:szCs w:val="22"/>
        </w:rPr>
        <w:t>experience they</w:t>
      </w:r>
      <w:r w:rsidRPr="00565BFC">
        <w:rPr>
          <w:rFonts w:eastAsiaTheme="majorEastAsia"/>
          <w:color w:val="000000" w:themeColor="text1"/>
          <w:szCs w:val="22"/>
        </w:rPr>
        <w:t xml:space="preserve"> </w:t>
      </w:r>
      <w:r w:rsidRPr="00565BFC">
        <w:rPr>
          <w:color w:val="000000" w:themeColor="text1"/>
          <w:szCs w:val="22"/>
        </w:rPr>
        <w:t xml:space="preserve">felt were </w:t>
      </w:r>
      <w:r w:rsidRPr="00565BFC">
        <w:rPr>
          <w:rFonts w:eastAsiaTheme="majorEastAsia"/>
          <w:color w:val="000000" w:themeColor="text1"/>
          <w:szCs w:val="22"/>
        </w:rPr>
        <w:t>important</w:t>
      </w:r>
      <w:r w:rsidRPr="00565BFC">
        <w:rPr>
          <w:color w:val="000000" w:themeColor="text1"/>
          <w:szCs w:val="22"/>
        </w:rPr>
        <w:t xml:space="preserve">, </w:t>
      </w:r>
      <w:r w:rsidRPr="00565BFC">
        <w:rPr>
          <w:rFonts w:eastAsiaTheme="majorEastAsia"/>
          <w:color w:val="000000" w:themeColor="text1"/>
          <w:szCs w:val="22"/>
        </w:rPr>
        <w:t xml:space="preserve">of high value </w:t>
      </w:r>
      <w:r w:rsidRPr="00565BFC">
        <w:rPr>
          <w:color w:val="000000" w:themeColor="text1"/>
          <w:szCs w:val="22"/>
        </w:rPr>
        <w:t>and yet</w:t>
      </w:r>
      <w:r w:rsidRPr="00565BFC">
        <w:rPr>
          <w:rFonts w:eastAsiaTheme="majorEastAsia"/>
          <w:color w:val="000000" w:themeColor="text1"/>
          <w:szCs w:val="22"/>
        </w:rPr>
        <w:t xml:space="preserve"> difficult to measure/ quantify. </w:t>
      </w:r>
      <w:r w:rsidRPr="00565BFC">
        <w:rPr>
          <w:color w:val="000000" w:themeColor="text1"/>
          <w:szCs w:val="22"/>
        </w:rPr>
        <w:t xml:space="preserve"> </w:t>
      </w:r>
    </w:p>
    <w:p w14:paraId="23049787" w14:textId="13E9F95B" w:rsidR="00565BFC" w:rsidRDefault="00565BFC" w:rsidP="00565BFC">
      <w:pPr>
        <w:pStyle w:val="Heading3"/>
      </w:pPr>
      <w:r>
        <w:t>Key Intangible Assets arising from this study</w:t>
      </w:r>
    </w:p>
    <w:p w14:paraId="56E8D90B" w14:textId="77777777" w:rsidR="00565BFC" w:rsidRPr="00565BFC" w:rsidRDefault="00565BFC" w:rsidP="00565BFC">
      <w:pPr>
        <w:keepNext/>
        <w:keepLines/>
        <w:spacing w:before="40"/>
        <w:jc w:val="both"/>
        <w:outlineLvl w:val="1"/>
        <w:rPr>
          <w:rFonts w:eastAsiaTheme="majorEastAsia" w:cs="Arial"/>
          <w:color w:val="000000" w:themeColor="text1"/>
          <w:szCs w:val="22"/>
        </w:rPr>
      </w:pPr>
      <w:r w:rsidRPr="00565BFC">
        <w:rPr>
          <w:rFonts w:eastAsiaTheme="majorEastAsia" w:cs="Arial"/>
          <w:color w:val="000000" w:themeColor="text1"/>
          <w:szCs w:val="22"/>
        </w:rPr>
        <w:t>Looking across the outcomes of the workshops, the following priority intangible asset themes emerged:</w:t>
      </w:r>
    </w:p>
    <w:p w14:paraId="3DDB5D01" w14:textId="77777777" w:rsidR="00565BFC" w:rsidRPr="00565BFC" w:rsidRDefault="00565BFC" w:rsidP="00565BFC">
      <w:pPr>
        <w:pStyle w:val="ListParagraph"/>
        <w:widowControl/>
        <w:numPr>
          <w:ilvl w:val="3"/>
          <w:numId w:val="47"/>
        </w:numPr>
        <w:spacing w:before="120" w:after="0"/>
        <w:ind w:left="357" w:hanging="357"/>
        <w:contextualSpacing/>
        <w:jc w:val="both"/>
        <w:rPr>
          <w:rFonts w:cs="Arial"/>
          <w:szCs w:val="22"/>
        </w:rPr>
      </w:pPr>
      <w:r w:rsidRPr="00565BFC">
        <w:rPr>
          <w:rFonts w:cs="Arial"/>
          <w:szCs w:val="22"/>
          <w:u w:val="single"/>
        </w:rPr>
        <w:t>Sense of belonging/ part of an (academic) community</w:t>
      </w:r>
      <w:r w:rsidRPr="00565BFC">
        <w:rPr>
          <w:rFonts w:cs="Arial"/>
          <w:szCs w:val="22"/>
        </w:rPr>
        <w:t xml:space="preserve">.  Such students are more likely to complete their studies and achieve better outcomes- Thomas et al (2017). </w:t>
      </w:r>
    </w:p>
    <w:p w14:paraId="238BB952" w14:textId="0C14BFAE" w:rsidR="00565BFC" w:rsidRPr="00565BFC" w:rsidRDefault="00565BFC" w:rsidP="00565BFC">
      <w:pPr>
        <w:pStyle w:val="ListParagraph"/>
        <w:widowControl/>
        <w:numPr>
          <w:ilvl w:val="3"/>
          <w:numId w:val="47"/>
        </w:numPr>
        <w:spacing w:before="120" w:after="0"/>
        <w:ind w:left="357" w:hanging="357"/>
        <w:contextualSpacing/>
        <w:jc w:val="both"/>
        <w:rPr>
          <w:rFonts w:cs="Arial"/>
          <w:szCs w:val="22"/>
        </w:rPr>
      </w:pPr>
      <w:r w:rsidRPr="00565BFC">
        <w:rPr>
          <w:rFonts w:cs="Arial"/>
          <w:szCs w:val="22"/>
          <w:u w:val="single"/>
        </w:rPr>
        <w:t xml:space="preserve">Building effective relationships (between students and staff and between staff) </w:t>
      </w:r>
      <w:r w:rsidRPr="00565BFC">
        <w:rPr>
          <w:rFonts w:cs="Arial"/>
          <w:szCs w:val="22"/>
        </w:rPr>
        <w:t xml:space="preserve">also helps to foster strong learning communities (Thomas et al (2017). </w:t>
      </w:r>
    </w:p>
    <w:p w14:paraId="42513CFB" w14:textId="3034D1A1" w:rsidR="00565BFC" w:rsidRPr="00565BFC" w:rsidRDefault="00565BFC" w:rsidP="00565BFC">
      <w:pPr>
        <w:pStyle w:val="ListParagraph"/>
        <w:widowControl/>
        <w:numPr>
          <w:ilvl w:val="3"/>
          <w:numId w:val="47"/>
        </w:numPr>
        <w:spacing w:before="120" w:after="0"/>
        <w:ind w:left="357" w:hanging="357"/>
        <w:contextualSpacing/>
        <w:jc w:val="both"/>
        <w:rPr>
          <w:rFonts w:cs="Arial"/>
          <w:szCs w:val="22"/>
        </w:rPr>
      </w:pPr>
      <w:r w:rsidRPr="00565BFC">
        <w:rPr>
          <w:rFonts w:cs="Arial"/>
          <w:szCs w:val="22"/>
          <w:u w:val="single"/>
        </w:rPr>
        <w:t>The wider transformational impact of a university education on students.</w:t>
      </w:r>
      <w:r w:rsidRPr="00565BFC">
        <w:rPr>
          <w:rFonts w:cs="Arial"/>
          <w:szCs w:val="22"/>
        </w:rPr>
        <w:t xml:space="preserve">  Activities that lie beyond core academic studies, </w:t>
      </w:r>
      <w:proofErr w:type="gramStart"/>
      <w:r w:rsidRPr="00565BFC">
        <w:rPr>
          <w:rFonts w:cs="Arial"/>
          <w:szCs w:val="22"/>
        </w:rPr>
        <w:t>and also</w:t>
      </w:r>
      <w:proofErr w:type="gramEnd"/>
      <w:r w:rsidRPr="00565BFC">
        <w:rPr>
          <w:rFonts w:cs="Arial"/>
          <w:szCs w:val="22"/>
        </w:rPr>
        <w:t xml:space="preserve"> the longer-term impact of a university education.</w:t>
      </w:r>
    </w:p>
    <w:p w14:paraId="419D39E2" w14:textId="4EBC4CAB" w:rsidR="00565BFC" w:rsidRPr="00565BFC" w:rsidRDefault="00565BFC" w:rsidP="00565BFC">
      <w:pPr>
        <w:pStyle w:val="ListParagraph"/>
        <w:widowControl/>
        <w:numPr>
          <w:ilvl w:val="3"/>
          <w:numId w:val="47"/>
        </w:numPr>
        <w:spacing w:before="120" w:after="0"/>
        <w:ind w:left="357" w:hanging="357"/>
        <w:contextualSpacing/>
        <w:jc w:val="both"/>
        <w:rPr>
          <w:rFonts w:cs="Arial"/>
          <w:szCs w:val="22"/>
        </w:rPr>
      </w:pPr>
      <w:r w:rsidRPr="00565BFC">
        <w:rPr>
          <w:rFonts w:cs="Arial"/>
          <w:szCs w:val="22"/>
          <w:u w:val="single"/>
        </w:rPr>
        <w:t>Wellbeing (of students and staff).</w:t>
      </w:r>
      <w:r w:rsidRPr="00565BFC">
        <w:rPr>
          <w:rFonts w:cs="Arial"/>
          <w:szCs w:val="22"/>
        </w:rPr>
        <w:t xml:space="preserve"> Individuals are much more likely to be engaged, productive and successful if they have positive wellbeing and mental health. </w:t>
      </w:r>
    </w:p>
    <w:p w14:paraId="47C25EA1" w14:textId="5BFE49A0" w:rsidR="00565BFC" w:rsidRPr="00565BFC" w:rsidRDefault="00565BFC" w:rsidP="00565BFC">
      <w:pPr>
        <w:pStyle w:val="ListParagraph"/>
        <w:widowControl/>
        <w:numPr>
          <w:ilvl w:val="3"/>
          <w:numId w:val="47"/>
        </w:numPr>
        <w:spacing w:before="120" w:after="0"/>
        <w:ind w:left="357" w:hanging="357"/>
        <w:contextualSpacing/>
        <w:jc w:val="both"/>
        <w:rPr>
          <w:rFonts w:cs="Arial"/>
          <w:szCs w:val="22"/>
        </w:rPr>
      </w:pPr>
      <w:r w:rsidRPr="00565BFC">
        <w:rPr>
          <w:rFonts w:cs="Arial"/>
          <w:szCs w:val="22"/>
          <w:u w:val="single"/>
        </w:rPr>
        <w:t>Student engagement</w:t>
      </w:r>
      <w:r w:rsidRPr="00565BFC">
        <w:rPr>
          <w:rFonts w:cs="Arial"/>
          <w:szCs w:val="22"/>
        </w:rPr>
        <w:t xml:space="preserve">. Our participants defined this as students’ engagement and participation in their own learning but also the wider learning experience, </w:t>
      </w:r>
      <w:proofErr w:type="spellStart"/>
      <w:r w:rsidRPr="00565BFC">
        <w:rPr>
          <w:rFonts w:cs="Arial"/>
          <w:szCs w:val="22"/>
        </w:rPr>
        <w:t>sparqs</w:t>
      </w:r>
      <w:proofErr w:type="spellEnd"/>
      <w:r w:rsidRPr="00565BFC">
        <w:rPr>
          <w:rFonts w:cs="Arial"/>
          <w:szCs w:val="22"/>
        </w:rPr>
        <w:t xml:space="preserve"> (2012).</w:t>
      </w:r>
    </w:p>
    <w:p w14:paraId="5B7E6566" w14:textId="77777777" w:rsidR="003476C5" w:rsidRDefault="003476C5" w:rsidP="003476C5">
      <w:pPr>
        <w:spacing w:after="0"/>
        <w:rPr>
          <w:rFonts w:cs="Arial"/>
          <w:b/>
          <w:sz w:val="24"/>
          <w:szCs w:val="24"/>
        </w:rPr>
      </w:pPr>
    </w:p>
    <w:p w14:paraId="69D4A667" w14:textId="6FDF103A" w:rsidR="00565BFC" w:rsidRPr="00565BFC" w:rsidRDefault="00565BFC" w:rsidP="00565BFC">
      <w:pPr>
        <w:rPr>
          <w:rFonts w:cs="Arial"/>
          <w:b/>
          <w:sz w:val="24"/>
          <w:szCs w:val="24"/>
        </w:rPr>
      </w:pPr>
      <w:r w:rsidRPr="00565BFC">
        <w:rPr>
          <w:rFonts w:cs="Arial"/>
          <w:b/>
          <w:sz w:val="24"/>
          <w:szCs w:val="24"/>
        </w:rPr>
        <w:t xml:space="preserve">A novel Conceptual Model </w:t>
      </w:r>
    </w:p>
    <w:p w14:paraId="6E3001FA" w14:textId="25845704" w:rsidR="00565BFC" w:rsidRPr="00565BFC" w:rsidRDefault="003476C5" w:rsidP="00565BFC">
      <w:pPr>
        <w:jc w:val="both"/>
        <w:rPr>
          <w:rFonts w:cs="Arial"/>
          <w:szCs w:val="22"/>
        </w:rPr>
      </w:pPr>
      <w:r>
        <w:rPr>
          <w:rFonts w:cs="Arial"/>
          <w:szCs w:val="22"/>
        </w:rPr>
        <w:lastRenderedPageBreak/>
        <w:t>We also</w:t>
      </w:r>
      <w:r w:rsidR="00565BFC" w:rsidRPr="00565BFC">
        <w:rPr>
          <w:rFonts w:cs="Arial"/>
          <w:szCs w:val="22"/>
        </w:rPr>
        <w:t xml:space="preserve"> developed a novel conceptual model and accompanying process based on cultural mapping (Duxbury (2016)) to help institutions identify, analyse the value of and enhance their intangible assets. Our model is termed </w:t>
      </w:r>
      <w:r w:rsidR="005C03BC">
        <w:rPr>
          <w:rFonts w:cs="Arial"/>
          <w:szCs w:val="22"/>
        </w:rPr>
        <w:t>an “Evidencing Value Framework”</w:t>
      </w:r>
      <w:r w:rsidR="00565BFC" w:rsidRPr="00565BFC">
        <w:rPr>
          <w:rFonts w:cs="Arial"/>
          <w:szCs w:val="22"/>
        </w:rPr>
        <w:t xml:space="preserve"> and comprises four quadrants (resources; core educational and support components; ethos, cultures and identities; systems and structures). It can be applied at various levels: micro (e.g. programme), meso (e.g. departmental/ service) and macro (institutional or faculty/ school/college) meaning that it is sufficiently flexible and holistic </w:t>
      </w:r>
      <w:r>
        <w:rPr>
          <w:rFonts w:cs="Arial"/>
          <w:szCs w:val="22"/>
        </w:rPr>
        <w:t>for</w:t>
      </w:r>
      <w:r w:rsidR="00565BFC" w:rsidRPr="00565BFC">
        <w:rPr>
          <w:rFonts w:cs="Arial"/>
          <w:szCs w:val="22"/>
        </w:rPr>
        <w:t xml:space="preserve"> various contexts.</w:t>
      </w:r>
    </w:p>
    <w:p w14:paraId="2EADF891" w14:textId="6EF7E6D5" w:rsidR="00565BFC" w:rsidRDefault="009A7B89" w:rsidP="00565BFC">
      <w:pPr>
        <w:spacing w:after="0"/>
      </w:pPr>
      <w:r>
        <w:rPr>
          <w:noProof/>
          <w:snapToGrid/>
          <w:lang w:eastAsia="en-GB"/>
        </w:rPr>
        <w:drawing>
          <wp:inline distT="0" distB="0" distL="0" distR="0" wp14:anchorId="375F7310" wp14:editId="18AFB07A">
            <wp:extent cx="3752850" cy="310515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2850" cy="3105150"/>
                    </a:xfrm>
                    <a:prstGeom prst="rect">
                      <a:avLst/>
                    </a:prstGeom>
                  </pic:spPr>
                </pic:pic>
              </a:graphicData>
            </a:graphic>
          </wp:inline>
        </w:drawing>
      </w:r>
    </w:p>
    <w:p w14:paraId="30727C3F" w14:textId="0E12EA6C" w:rsidR="009A7B89" w:rsidRPr="003476C5" w:rsidRDefault="003476C5" w:rsidP="00565BFC">
      <w:pPr>
        <w:spacing w:after="0"/>
        <w:rPr>
          <w:b/>
          <w:sz w:val="24"/>
          <w:szCs w:val="24"/>
        </w:rPr>
      </w:pPr>
      <w:proofErr w:type="gramStart"/>
      <w:r w:rsidRPr="003476C5">
        <w:rPr>
          <w:b/>
          <w:sz w:val="24"/>
          <w:szCs w:val="24"/>
        </w:rPr>
        <w:t>Possible uses</w:t>
      </w:r>
      <w:proofErr w:type="gramEnd"/>
    </w:p>
    <w:p w14:paraId="0FED92F4" w14:textId="3505930F" w:rsidR="003476C5" w:rsidRPr="003476C5" w:rsidRDefault="003476C5" w:rsidP="003476C5">
      <w:pPr>
        <w:spacing w:before="120" w:after="0"/>
        <w:jc w:val="both"/>
        <w:rPr>
          <w:rFonts w:eastAsia="Calibri" w:cs="Arial"/>
          <w:szCs w:val="22"/>
        </w:rPr>
      </w:pPr>
      <w:r w:rsidRPr="003476C5">
        <w:rPr>
          <w:rFonts w:eastAsia="Calibri" w:cs="Arial"/>
          <w:szCs w:val="22"/>
        </w:rPr>
        <w:t xml:space="preserve">The model and resources developed by the project have been designed to assist with preparing for quality reviews, curriculum reform, strategy development, TEF submissions etc. If you are interested in and using these tools, we want to hear from you! </w:t>
      </w:r>
    </w:p>
    <w:p w14:paraId="792B70AC" w14:textId="77777777" w:rsidR="003476C5" w:rsidRDefault="003476C5" w:rsidP="003476C5">
      <w:pPr>
        <w:spacing w:before="120" w:after="0"/>
        <w:jc w:val="both"/>
        <w:rPr>
          <w:rFonts w:eastAsia="Calibri" w:cs="Arial"/>
          <w:b/>
          <w:sz w:val="24"/>
          <w:szCs w:val="24"/>
        </w:rPr>
      </w:pPr>
    </w:p>
    <w:p w14:paraId="20A687BF" w14:textId="73A417A1" w:rsidR="00565BFC" w:rsidRPr="005C03BC" w:rsidRDefault="00565BFC" w:rsidP="003476C5">
      <w:pPr>
        <w:jc w:val="both"/>
        <w:rPr>
          <w:rFonts w:eastAsia="Calibri" w:cs="Arial"/>
          <w:b/>
          <w:snapToGrid/>
          <w:sz w:val="24"/>
          <w:szCs w:val="24"/>
        </w:rPr>
      </w:pPr>
      <w:r w:rsidRPr="005C03BC">
        <w:rPr>
          <w:rFonts w:eastAsia="Calibri" w:cs="Arial"/>
          <w:b/>
          <w:sz w:val="24"/>
          <w:szCs w:val="24"/>
        </w:rPr>
        <w:t>References</w:t>
      </w:r>
    </w:p>
    <w:p w14:paraId="2FB26AD4" w14:textId="41479ECE" w:rsidR="00565BFC" w:rsidRPr="005C03BC" w:rsidRDefault="00565BFC" w:rsidP="00565BFC">
      <w:pPr>
        <w:rPr>
          <w:rFonts w:eastAsiaTheme="minorHAnsi" w:cs="Arial"/>
          <w:szCs w:val="22"/>
        </w:rPr>
      </w:pPr>
      <w:r w:rsidRPr="005C03BC">
        <w:rPr>
          <w:rFonts w:eastAsia="Calibri" w:cs="Arial"/>
          <w:szCs w:val="22"/>
        </w:rPr>
        <w:t xml:space="preserve">Duxbury, N &amp; Longley, A. (2016). </w:t>
      </w:r>
      <w:hyperlink r:id="rId9" w:history="1">
        <w:r w:rsidRPr="005C03BC">
          <w:rPr>
            <w:rStyle w:val="Hyperlink"/>
            <w:rFonts w:eastAsia="Calibri" w:cs="Arial"/>
            <w:szCs w:val="22"/>
          </w:rPr>
          <w:t>https://www.sciencedirect.com/journal/city-culture-and-society/vol/7/issue/1</w:t>
        </w:r>
      </w:hyperlink>
    </w:p>
    <w:p w14:paraId="6AB90E15" w14:textId="70A9E874" w:rsidR="00565BFC" w:rsidRPr="005C03BC" w:rsidRDefault="00565BFC" w:rsidP="00565BFC">
      <w:pPr>
        <w:spacing w:before="120"/>
        <w:rPr>
          <w:rFonts w:eastAsiaTheme="minorHAnsi" w:cs="Arial"/>
          <w:szCs w:val="22"/>
        </w:rPr>
      </w:pPr>
      <w:r w:rsidRPr="005C03BC">
        <w:rPr>
          <w:rFonts w:eastAsiaTheme="minorHAnsi" w:cs="Arial"/>
          <w:szCs w:val="22"/>
        </w:rPr>
        <w:t xml:space="preserve">Gibbs, G (2010) </w:t>
      </w:r>
      <w:hyperlink r:id="rId10" w:history="1">
        <w:r w:rsidRPr="005C03BC">
          <w:rPr>
            <w:rStyle w:val="Hyperlink"/>
            <w:rFonts w:eastAsiaTheme="minorHAnsi" w:cs="Arial"/>
            <w:szCs w:val="22"/>
          </w:rPr>
          <w:t>https://www.heacademy.ac.uk/system/files/dimensions_of_quality.pdf</w:t>
        </w:r>
      </w:hyperlink>
    </w:p>
    <w:p w14:paraId="585E33A0" w14:textId="696C0933" w:rsidR="00565BFC" w:rsidRPr="005C03BC" w:rsidRDefault="00565BFC" w:rsidP="00565BFC">
      <w:pPr>
        <w:spacing w:before="120"/>
        <w:rPr>
          <w:rFonts w:eastAsiaTheme="minorHAnsi" w:cs="Arial"/>
          <w:color w:val="000000" w:themeColor="text1"/>
          <w:szCs w:val="22"/>
          <w:lang w:val="en-US"/>
        </w:rPr>
      </w:pPr>
      <w:proofErr w:type="spellStart"/>
      <w:r w:rsidRPr="005C03BC">
        <w:rPr>
          <w:rFonts w:eastAsiaTheme="minorHAnsi" w:cs="Arial"/>
          <w:color w:val="000000" w:themeColor="text1"/>
          <w:szCs w:val="22"/>
          <w:lang w:val="en-US"/>
        </w:rPr>
        <w:t>Sparqs</w:t>
      </w:r>
      <w:proofErr w:type="spellEnd"/>
      <w:r w:rsidRPr="005C03BC">
        <w:rPr>
          <w:rFonts w:eastAsiaTheme="minorHAnsi" w:cs="Arial"/>
          <w:color w:val="000000" w:themeColor="text1"/>
          <w:szCs w:val="22"/>
          <w:lang w:val="en-US"/>
        </w:rPr>
        <w:t xml:space="preserve"> (2012)</w:t>
      </w:r>
      <w:r w:rsidR="003476C5">
        <w:rPr>
          <w:rFonts w:eastAsiaTheme="minorHAnsi" w:cs="Arial"/>
          <w:color w:val="000000" w:themeColor="text1"/>
          <w:szCs w:val="22"/>
          <w:lang w:val="en-US"/>
        </w:rPr>
        <w:t xml:space="preserve"> </w:t>
      </w:r>
      <w:hyperlink r:id="rId11" w:history="1">
        <w:r w:rsidRPr="005C03BC">
          <w:rPr>
            <w:rStyle w:val="Hyperlink"/>
            <w:rFonts w:eastAsiaTheme="minorHAnsi" w:cs="Arial"/>
            <w:szCs w:val="22"/>
          </w:rPr>
          <w:t>https://www.sparqs.ac.uk/upfiles/SEFScotland.pdf</w:t>
        </w:r>
      </w:hyperlink>
    </w:p>
    <w:p w14:paraId="6BC90D26" w14:textId="17CB32E4" w:rsidR="00565BFC" w:rsidRPr="005C03BC" w:rsidRDefault="00565BFC" w:rsidP="00565BFC">
      <w:pPr>
        <w:spacing w:before="120"/>
        <w:rPr>
          <w:rFonts w:eastAsiaTheme="minorHAnsi" w:cs="Arial"/>
          <w:color w:val="0000FF" w:themeColor="hyperlink"/>
          <w:szCs w:val="22"/>
          <w:u w:val="single"/>
        </w:rPr>
      </w:pPr>
      <w:r w:rsidRPr="005C03BC">
        <w:rPr>
          <w:rFonts w:eastAsiaTheme="minorHAnsi" w:cs="Arial"/>
          <w:color w:val="000000" w:themeColor="text1"/>
          <w:szCs w:val="22"/>
          <w:lang w:val="en-US"/>
        </w:rPr>
        <w:t xml:space="preserve">Thomas, L., Hill, M., </w:t>
      </w:r>
      <w:proofErr w:type="spellStart"/>
      <w:r w:rsidRPr="005C03BC">
        <w:rPr>
          <w:rFonts w:eastAsiaTheme="minorHAnsi" w:cs="Arial"/>
          <w:color w:val="000000" w:themeColor="text1"/>
          <w:szCs w:val="22"/>
          <w:lang w:val="en-US"/>
        </w:rPr>
        <w:t>O’Mahony</w:t>
      </w:r>
      <w:proofErr w:type="spellEnd"/>
      <w:r w:rsidRPr="005C03BC">
        <w:rPr>
          <w:rFonts w:eastAsiaTheme="minorHAnsi" w:cs="Arial"/>
          <w:color w:val="000000" w:themeColor="text1"/>
          <w:szCs w:val="22"/>
          <w:lang w:val="en-US"/>
        </w:rPr>
        <w:t>, J., Yorke, M., (2017)</w:t>
      </w:r>
      <w:r w:rsidR="003476C5">
        <w:rPr>
          <w:rFonts w:eastAsiaTheme="minorHAnsi" w:cs="Arial"/>
          <w:color w:val="000000" w:themeColor="text1"/>
          <w:szCs w:val="22"/>
          <w:lang w:val="en-US"/>
        </w:rPr>
        <w:t xml:space="preserve">. </w:t>
      </w:r>
      <w:hyperlink r:id="rId12" w:history="1">
        <w:r w:rsidRPr="005C03BC">
          <w:rPr>
            <w:rStyle w:val="Hyperlink"/>
            <w:rFonts w:eastAsiaTheme="minorHAnsi" w:cs="Arial"/>
            <w:szCs w:val="22"/>
          </w:rPr>
          <w:t>https://www.heacademy.ac.uk/knowledge-hub/supporting-student-success-strategies-institutional-change</w:t>
        </w:r>
      </w:hyperlink>
    </w:p>
    <w:p w14:paraId="0CB45014" w14:textId="07755048" w:rsidR="0085609C" w:rsidRDefault="0085609C" w:rsidP="0085609C">
      <w:pPr>
        <w:pBdr>
          <w:top w:val="single" w:sz="4" w:space="1" w:color="auto"/>
          <w:left w:val="single" w:sz="4" w:space="4" w:color="auto"/>
          <w:bottom w:val="single" w:sz="4" w:space="1" w:color="auto"/>
          <w:right w:val="single" w:sz="4" w:space="4" w:color="auto"/>
        </w:pBdr>
        <w:rPr>
          <w:noProof/>
          <w:snapToGrid/>
          <w:lang w:eastAsia="en-GB"/>
        </w:rPr>
      </w:pPr>
      <w:r>
        <w:rPr>
          <w:noProof/>
          <w:snapToGrid/>
          <w:lang w:eastAsia="en-GB"/>
        </w:rPr>
        <w:t xml:space="preserve">This document has been produced and published by </w:t>
      </w:r>
      <w:r w:rsidR="005C03BC">
        <w:rPr>
          <w:noProof/>
          <w:snapToGrid/>
          <w:lang w:eastAsia="en-GB"/>
        </w:rPr>
        <w:t>Abertay University, University of West of England and Edinburgh Napier University</w:t>
      </w:r>
      <w:r>
        <w:rPr>
          <w:noProof/>
          <w:snapToGrid/>
          <w:lang w:eastAsia="en-GB"/>
        </w:rPr>
        <w:t xml:space="preserve"> based on content provided by the Quality Assurance Agency for Higher Education (QAA). As such, this document may contain content that is not wholly endorsed by QAA.</w:t>
      </w:r>
    </w:p>
    <w:p w14:paraId="0CB45016" w14:textId="3A0F420B" w:rsidR="005272B7" w:rsidRPr="003476C5" w:rsidRDefault="005272B7" w:rsidP="0085609C">
      <w:pPr>
        <w:pBdr>
          <w:top w:val="single" w:sz="4" w:space="1" w:color="auto"/>
          <w:left w:val="single" w:sz="4" w:space="4" w:color="auto"/>
          <w:bottom w:val="single" w:sz="4" w:space="1" w:color="auto"/>
          <w:right w:val="single" w:sz="4" w:space="4" w:color="auto"/>
        </w:pBdr>
        <w:rPr>
          <w:noProof/>
          <w:snapToGrid/>
          <w:lang w:eastAsia="en-GB"/>
        </w:rPr>
      </w:pPr>
      <w:r>
        <w:rPr>
          <w:noProof/>
          <w:snapToGrid/>
          <w:lang w:eastAsia="en-GB"/>
        </w:rPr>
        <w:drawing>
          <wp:inline distT="0" distB="0" distL="0" distR="0" wp14:anchorId="0CB45017" wp14:editId="0CB45018">
            <wp:extent cx="838200" cy="29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png"/>
                    <pic:cNvPicPr/>
                  </pic:nvPicPr>
                  <pic:blipFill>
                    <a:blip r:embed="rId13">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sectPr w:rsidR="005272B7" w:rsidRPr="003476C5" w:rsidSect="00354D18">
      <w:headerReference w:type="default" r:id="rId14"/>
      <w:pgSz w:w="11906" w:h="16838"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C3CD8" w14:textId="77777777" w:rsidR="00AB4C4C" w:rsidRDefault="00AB4C4C">
      <w:r>
        <w:separator/>
      </w:r>
    </w:p>
  </w:endnote>
  <w:endnote w:type="continuationSeparator" w:id="0">
    <w:p w14:paraId="0005B7BD" w14:textId="77777777" w:rsidR="00AB4C4C" w:rsidRDefault="00AB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283A1" w14:textId="77777777" w:rsidR="00AB4C4C" w:rsidRDefault="00AB4C4C">
      <w:r>
        <w:separator/>
      </w:r>
    </w:p>
  </w:footnote>
  <w:footnote w:type="continuationSeparator" w:id="0">
    <w:p w14:paraId="1EF2CFD1" w14:textId="77777777" w:rsidR="00AB4C4C" w:rsidRDefault="00AB4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5020" w14:textId="77777777" w:rsidR="00914C97" w:rsidRDefault="00914C97"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ACFD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800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84EA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D089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208F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9EEB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F4DF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20F8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0EAF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F49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7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D4B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2D37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2F4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4544ABA"/>
    <w:multiLevelType w:val="hybridMultilevel"/>
    <w:tmpl w:val="7504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09855C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136421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8E407A6"/>
    <w:multiLevelType w:val="hybridMultilevel"/>
    <w:tmpl w:val="1DC2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3" w15:restartNumberingAfterBreak="0">
    <w:nsid w:val="1A9A3488"/>
    <w:multiLevelType w:val="multilevel"/>
    <w:tmpl w:val="0F96446E"/>
    <w:name w:val="QAA list22"/>
    <w:numStyleLink w:val="QAAlist"/>
  </w:abstractNum>
  <w:abstractNum w:abstractNumId="24" w15:restartNumberingAfterBreak="0">
    <w:nsid w:val="1BAB1B17"/>
    <w:multiLevelType w:val="hybridMultilevel"/>
    <w:tmpl w:val="CD90B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0150D8A"/>
    <w:multiLevelType w:val="hybridMultilevel"/>
    <w:tmpl w:val="0C86B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7"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2C317F2E"/>
    <w:multiLevelType w:val="multilevel"/>
    <w:tmpl w:val="C94E3684"/>
    <w:name w:val="QAA2222"/>
    <w:numStyleLink w:val="QAAmultilist"/>
  </w:abstractNum>
  <w:abstractNum w:abstractNumId="29"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0AE2FA9"/>
    <w:multiLevelType w:val="multilevel"/>
    <w:tmpl w:val="C94E3684"/>
    <w:name w:val="QAA22223"/>
    <w:numStyleLink w:val="QAAmultilist"/>
  </w:abstractNum>
  <w:abstractNum w:abstractNumId="31" w15:restartNumberingAfterBreak="0">
    <w:nsid w:val="35A23E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A940EE7"/>
    <w:multiLevelType w:val="hybridMultilevel"/>
    <w:tmpl w:val="31B2E0B4"/>
    <w:lvl w:ilvl="0" w:tplc="D5769E8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F21D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EEB70AF"/>
    <w:multiLevelType w:val="multilevel"/>
    <w:tmpl w:val="C94E3684"/>
    <w:name w:val="QAA222"/>
    <w:numStyleLink w:val="QAAmultilist"/>
  </w:abstractNum>
  <w:abstractNum w:abstractNumId="35"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6" w15:restartNumberingAfterBreak="0">
    <w:nsid w:val="40B1130C"/>
    <w:multiLevelType w:val="hybridMultilevel"/>
    <w:tmpl w:val="06681F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743260F"/>
    <w:multiLevelType w:val="multilevel"/>
    <w:tmpl w:val="C94E3684"/>
    <w:name w:val="QAA list22222"/>
    <w:numStyleLink w:val="QAAmultilist"/>
  </w:abstractNum>
  <w:abstractNum w:abstractNumId="40" w15:restartNumberingAfterBreak="0">
    <w:nsid w:val="50AE722D"/>
    <w:multiLevelType w:val="multilevel"/>
    <w:tmpl w:val="53DED9C6"/>
    <w:lvl w:ilvl="0">
      <w:start w:val="1"/>
      <w:numFmt w:val="lowerRoman"/>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4D53FDB"/>
    <w:multiLevelType w:val="multilevel"/>
    <w:tmpl w:val="C94E3684"/>
    <w:name w:val="QAA22222"/>
    <w:numStyleLink w:val="QAAmultilist"/>
  </w:abstractNum>
  <w:abstractNum w:abstractNumId="42"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3" w15:restartNumberingAfterBreak="0">
    <w:nsid w:val="56D73B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ECE49EE"/>
    <w:multiLevelType w:val="multilevel"/>
    <w:tmpl w:val="0809001D"/>
    <w:numStyleLink w:val="LIST2"/>
  </w:abstractNum>
  <w:abstractNum w:abstractNumId="46"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7"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8" w15:restartNumberingAfterBreak="0">
    <w:nsid w:val="689D2C51"/>
    <w:multiLevelType w:val="multilevel"/>
    <w:tmpl w:val="C94E3684"/>
    <w:name w:val="QAA22"/>
    <w:numStyleLink w:val="QAAmultilist"/>
  </w:abstractNum>
  <w:abstractNum w:abstractNumId="49"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0" w15:restartNumberingAfterBreak="0">
    <w:nsid w:val="698F7383"/>
    <w:multiLevelType w:val="multilevel"/>
    <w:tmpl w:val="E26E30F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2" w15:restartNumberingAfterBreak="0">
    <w:nsid w:val="79546FCD"/>
    <w:multiLevelType w:val="hybridMultilevel"/>
    <w:tmpl w:val="A56A62FC"/>
    <w:lvl w:ilvl="0" w:tplc="51220C2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3"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56"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56"/>
  </w:num>
  <w:num w:numId="3">
    <w:abstractNumId w:val="12"/>
  </w:num>
  <w:num w:numId="4">
    <w:abstractNumId w:val="33"/>
  </w:num>
  <w:num w:numId="5">
    <w:abstractNumId w:val="55"/>
  </w:num>
  <w:num w:numId="6">
    <w:abstractNumId w:val="55"/>
    <w:lvlOverride w:ilvl="0">
      <w:startOverride w:val="1"/>
    </w:lvlOverride>
  </w:num>
  <w:num w:numId="7">
    <w:abstractNumId w:val="10"/>
  </w:num>
  <w:num w:numId="8">
    <w:abstractNumId w:val="20"/>
  </w:num>
  <w:num w:numId="9">
    <w:abstractNumId w:val="31"/>
  </w:num>
  <w:num w:numId="10">
    <w:abstractNumId w:val="13"/>
  </w:num>
  <w:num w:numId="11">
    <w:abstractNumId w:val="14"/>
  </w:num>
  <w:num w:numId="12">
    <w:abstractNumId w:val="52"/>
  </w:num>
  <w:num w:numId="13">
    <w:abstractNumId w:val="15"/>
  </w:num>
  <w:num w:numId="14">
    <w:abstractNumId w:val="19"/>
  </w:num>
  <w:num w:numId="15">
    <w:abstractNumId w:val="35"/>
  </w:num>
  <w:num w:numId="16">
    <w:abstractNumId w:val="26"/>
  </w:num>
  <w:num w:numId="17">
    <w:abstractNumId w:val="37"/>
  </w:num>
  <w:num w:numId="18">
    <w:abstractNumId w:val="23"/>
  </w:num>
  <w:num w:numId="19">
    <w:abstractNumId w:val="50"/>
  </w:num>
  <w:num w:numId="20">
    <w:abstractNumId w:val="11"/>
  </w:num>
  <w:num w:numId="21">
    <w:abstractNumId w:val="55"/>
  </w:num>
  <w:num w:numId="22">
    <w:abstractNumId w:val="55"/>
  </w:num>
  <w:num w:numId="23">
    <w:abstractNumId w:val="47"/>
  </w:num>
  <w:num w:numId="24">
    <w:abstractNumId w:val="38"/>
  </w:num>
  <w:num w:numId="25">
    <w:abstractNumId w:val="45"/>
  </w:num>
  <w:num w:numId="26">
    <w:abstractNumId w:val="17"/>
  </w:num>
  <w:num w:numId="27">
    <w:abstractNumId w:val="43"/>
  </w:num>
  <w:num w:numId="28">
    <w:abstractNumId w:val="46"/>
  </w:num>
  <w:num w:numId="29">
    <w:abstractNumId w:val="32"/>
  </w:num>
  <w:num w:numId="30">
    <w:abstractNumId w:val="25"/>
  </w:num>
  <w:num w:numId="31">
    <w:abstractNumId w:val="40"/>
  </w:num>
  <w:num w:numId="32">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53"/>
  </w:num>
  <w:num w:numId="44">
    <w:abstractNumId w:val="24"/>
  </w:num>
  <w:num w:numId="45">
    <w:abstractNumId w:val="21"/>
  </w:num>
  <w:num w:numId="46">
    <w:abstractNumId w:val="18"/>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C17DCF"/>
    <w:rsid w:val="000029CE"/>
    <w:rsid w:val="0001312F"/>
    <w:rsid w:val="00023508"/>
    <w:rsid w:val="000257C6"/>
    <w:rsid w:val="00034DC2"/>
    <w:rsid w:val="000423FA"/>
    <w:rsid w:val="0004689E"/>
    <w:rsid w:val="00051649"/>
    <w:rsid w:val="000516E7"/>
    <w:rsid w:val="00053578"/>
    <w:rsid w:val="00061136"/>
    <w:rsid w:val="0006130C"/>
    <w:rsid w:val="000738B7"/>
    <w:rsid w:val="0007639E"/>
    <w:rsid w:val="00080822"/>
    <w:rsid w:val="00082101"/>
    <w:rsid w:val="00084800"/>
    <w:rsid w:val="00085E63"/>
    <w:rsid w:val="000923AE"/>
    <w:rsid w:val="0009461A"/>
    <w:rsid w:val="000A0F20"/>
    <w:rsid w:val="000A35D4"/>
    <w:rsid w:val="000B153C"/>
    <w:rsid w:val="000B3580"/>
    <w:rsid w:val="000B6D8D"/>
    <w:rsid w:val="000C1CE2"/>
    <w:rsid w:val="000C22BD"/>
    <w:rsid w:val="000D4754"/>
    <w:rsid w:val="000D4899"/>
    <w:rsid w:val="000D5C17"/>
    <w:rsid w:val="000E5575"/>
    <w:rsid w:val="000E5828"/>
    <w:rsid w:val="000F2BC0"/>
    <w:rsid w:val="0010281B"/>
    <w:rsid w:val="00113A33"/>
    <w:rsid w:val="00125B9E"/>
    <w:rsid w:val="001347DE"/>
    <w:rsid w:val="00134A52"/>
    <w:rsid w:val="00145198"/>
    <w:rsid w:val="00156B18"/>
    <w:rsid w:val="00157C41"/>
    <w:rsid w:val="00162D50"/>
    <w:rsid w:val="0016434D"/>
    <w:rsid w:val="00164402"/>
    <w:rsid w:val="0016621A"/>
    <w:rsid w:val="00166F6E"/>
    <w:rsid w:val="00177608"/>
    <w:rsid w:val="00177B3B"/>
    <w:rsid w:val="001921F9"/>
    <w:rsid w:val="00195536"/>
    <w:rsid w:val="001A0E9C"/>
    <w:rsid w:val="001A1BD0"/>
    <w:rsid w:val="001A44A8"/>
    <w:rsid w:val="001B4D7A"/>
    <w:rsid w:val="001B5AE5"/>
    <w:rsid w:val="001C1F0A"/>
    <w:rsid w:val="001C281B"/>
    <w:rsid w:val="001C5293"/>
    <w:rsid w:val="001C63E4"/>
    <w:rsid w:val="001D0F4B"/>
    <w:rsid w:val="001D35B4"/>
    <w:rsid w:val="001D61FE"/>
    <w:rsid w:val="001E4E09"/>
    <w:rsid w:val="001F1190"/>
    <w:rsid w:val="001F176F"/>
    <w:rsid w:val="001F3E46"/>
    <w:rsid w:val="00212EB5"/>
    <w:rsid w:val="00217ED0"/>
    <w:rsid w:val="00223D6B"/>
    <w:rsid w:val="00235221"/>
    <w:rsid w:val="00237416"/>
    <w:rsid w:val="00250762"/>
    <w:rsid w:val="00254882"/>
    <w:rsid w:val="002550AB"/>
    <w:rsid w:val="00256FA5"/>
    <w:rsid w:val="00260B77"/>
    <w:rsid w:val="00262879"/>
    <w:rsid w:val="002732B2"/>
    <w:rsid w:val="00281D5A"/>
    <w:rsid w:val="00286946"/>
    <w:rsid w:val="002977B8"/>
    <w:rsid w:val="002A1826"/>
    <w:rsid w:val="002A46AB"/>
    <w:rsid w:val="002B043F"/>
    <w:rsid w:val="002B2B8B"/>
    <w:rsid w:val="002B3AB6"/>
    <w:rsid w:val="002B6CE1"/>
    <w:rsid w:val="002C22E0"/>
    <w:rsid w:val="002C7082"/>
    <w:rsid w:val="002C7FE8"/>
    <w:rsid w:val="002D2B06"/>
    <w:rsid w:val="002E0881"/>
    <w:rsid w:val="002E3972"/>
    <w:rsid w:val="002E3A8F"/>
    <w:rsid w:val="002F6F3C"/>
    <w:rsid w:val="002F7A66"/>
    <w:rsid w:val="003053D6"/>
    <w:rsid w:val="00310752"/>
    <w:rsid w:val="00315E15"/>
    <w:rsid w:val="00326237"/>
    <w:rsid w:val="003317D6"/>
    <w:rsid w:val="0033221B"/>
    <w:rsid w:val="00332A93"/>
    <w:rsid w:val="00341667"/>
    <w:rsid w:val="00346ACF"/>
    <w:rsid w:val="003476C5"/>
    <w:rsid w:val="0035009F"/>
    <w:rsid w:val="00354D18"/>
    <w:rsid w:val="00356E35"/>
    <w:rsid w:val="0036738E"/>
    <w:rsid w:val="00371438"/>
    <w:rsid w:val="0038211A"/>
    <w:rsid w:val="003842F1"/>
    <w:rsid w:val="00397D18"/>
    <w:rsid w:val="003A4B35"/>
    <w:rsid w:val="003A667E"/>
    <w:rsid w:val="003B009B"/>
    <w:rsid w:val="003B7227"/>
    <w:rsid w:val="003B724A"/>
    <w:rsid w:val="003C1D58"/>
    <w:rsid w:val="003C1EB2"/>
    <w:rsid w:val="003D036F"/>
    <w:rsid w:val="00400332"/>
    <w:rsid w:val="00403618"/>
    <w:rsid w:val="004049E2"/>
    <w:rsid w:val="00407CBA"/>
    <w:rsid w:val="004111AD"/>
    <w:rsid w:val="004113AC"/>
    <w:rsid w:val="00433169"/>
    <w:rsid w:val="00434470"/>
    <w:rsid w:val="00443909"/>
    <w:rsid w:val="00445A0E"/>
    <w:rsid w:val="00452832"/>
    <w:rsid w:val="00456AA2"/>
    <w:rsid w:val="00462982"/>
    <w:rsid w:val="00462BF0"/>
    <w:rsid w:val="00463EF1"/>
    <w:rsid w:val="004647B0"/>
    <w:rsid w:val="004655C5"/>
    <w:rsid w:val="00466F4F"/>
    <w:rsid w:val="00477C04"/>
    <w:rsid w:val="00480AF2"/>
    <w:rsid w:val="00485BE1"/>
    <w:rsid w:val="0049107D"/>
    <w:rsid w:val="004A4A87"/>
    <w:rsid w:val="004A59D9"/>
    <w:rsid w:val="004B5BF9"/>
    <w:rsid w:val="004B79B4"/>
    <w:rsid w:val="004C1610"/>
    <w:rsid w:val="004C6338"/>
    <w:rsid w:val="004C74F7"/>
    <w:rsid w:val="004D16C7"/>
    <w:rsid w:val="004D39F9"/>
    <w:rsid w:val="004F238E"/>
    <w:rsid w:val="004F4BDE"/>
    <w:rsid w:val="004F4C85"/>
    <w:rsid w:val="004F6822"/>
    <w:rsid w:val="004F72BF"/>
    <w:rsid w:val="00502C29"/>
    <w:rsid w:val="00504423"/>
    <w:rsid w:val="0050446A"/>
    <w:rsid w:val="005064F0"/>
    <w:rsid w:val="0051027D"/>
    <w:rsid w:val="00510A64"/>
    <w:rsid w:val="00511B68"/>
    <w:rsid w:val="005272B7"/>
    <w:rsid w:val="005454F6"/>
    <w:rsid w:val="00555F8D"/>
    <w:rsid w:val="00556F87"/>
    <w:rsid w:val="00557C09"/>
    <w:rsid w:val="00565BFC"/>
    <w:rsid w:val="00566E7B"/>
    <w:rsid w:val="00587DCA"/>
    <w:rsid w:val="005B55D2"/>
    <w:rsid w:val="005B6224"/>
    <w:rsid w:val="005B6743"/>
    <w:rsid w:val="005B68E4"/>
    <w:rsid w:val="005C03BC"/>
    <w:rsid w:val="005C2D31"/>
    <w:rsid w:val="005C60B6"/>
    <w:rsid w:val="005C722A"/>
    <w:rsid w:val="005D587A"/>
    <w:rsid w:val="005F102B"/>
    <w:rsid w:val="005F46B0"/>
    <w:rsid w:val="00606F05"/>
    <w:rsid w:val="00610826"/>
    <w:rsid w:val="00615DD3"/>
    <w:rsid w:val="00616060"/>
    <w:rsid w:val="006176AC"/>
    <w:rsid w:val="00625233"/>
    <w:rsid w:val="00630B14"/>
    <w:rsid w:val="00637F2D"/>
    <w:rsid w:val="006450FB"/>
    <w:rsid w:val="00654696"/>
    <w:rsid w:val="00654922"/>
    <w:rsid w:val="00660517"/>
    <w:rsid w:val="00662498"/>
    <w:rsid w:val="006640D3"/>
    <w:rsid w:val="00672644"/>
    <w:rsid w:val="00677C78"/>
    <w:rsid w:val="006901EF"/>
    <w:rsid w:val="006913FC"/>
    <w:rsid w:val="00694305"/>
    <w:rsid w:val="00697BF7"/>
    <w:rsid w:val="006A1FAA"/>
    <w:rsid w:val="006A2536"/>
    <w:rsid w:val="006A4850"/>
    <w:rsid w:val="006A647F"/>
    <w:rsid w:val="006B010E"/>
    <w:rsid w:val="006B21B9"/>
    <w:rsid w:val="006C12B6"/>
    <w:rsid w:val="006C41B5"/>
    <w:rsid w:val="006E096F"/>
    <w:rsid w:val="006F0E18"/>
    <w:rsid w:val="006F190F"/>
    <w:rsid w:val="006F371B"/>
    <w:rsid w:val="00715849"/>
    <w:rsid w:val="00720751"/>
    <w:rsid w:val="00722453"/>
    <w:rsid w:val="00723B1E"/>
    <w:rsid w:val="0072529C"/>
    <w:rsid w:val="00727B6A"/>
    <w:rsid w:val="0073634B"/>
    <w:rsid w:val="007412D7"/>
    <w:rsid w:val="007415A8"/>
    <w:rsid w:val="0074524B"/>
    <w:rsid w:val="00747C42"/>
    <w:rsid w:val="00752728"/>
    <w:rsid w:val="00755A59"/>
    <w:rsid w:val="00761EE6"/>
    <w:rsid w:val="007722B7"/>
    <w:rsid w:val="00782665"/>
    <w:rsid w:val="00787A20"/>
    <w:rsid w:val="00787AD2"/>
    <w:rsid w:val="00791988"/>
    <w:rsid w:val="0079266B"/>
    <w:rsid w:val="00794AB4"/>
    <w:rsid w:val="00794C86"/>
    <w:rsid w:val="007A0A43"/>
    <w:rsid w:val="007A3157"/>
    <w:rsid w:val="007A610F"/>
    <w:rsid w:val="007B10EF"/>
    <w:rsid w:val="007C7322"/>
    <w:rsid w:val="007D27DD"/>
    <w:rsid w:val="007D734B"/>
    <w:rsid w:val="007E02AD"/>
    <w:rsid w:val="007F0826"/>
    <w:rsid w:val="007F466D"/>
    <w:rsid w:val="00801B6D"/>
    <w:rsid w:val="00803903"/>
    <w:rsid w:val="00803CAE"/>
    <w:rsid w:val="00816C05"/>
    <w:rsid w:val="0082059A"/>
    <w:rsid w:val="00835C03"/>
    <w:rsid w:val="00836AD5"/>
    <w:rsid w:val="00836D79"/>
    <w:rsid w:val="008414AB"/>
    <w:rsid w:val="00843110"/>
    <w:rsid w:val="00844AC1"/>
    <w:rsid w:val="00851849"/>
    <w:rsid w:val="00855EE0"/>
    <w:rsid w:val="0085609C"/>
    <w:rsid w:val="008579C7"/>
    <w:rsid w:val="00863DFE"/>
    <w:rsid w:val="00867670"/>
    <w:rsid w:val="0087380D"/>
    <w:rsid w:val="00876C27"/>
    <w:rsid w:val="008847F7"/>
    <w:rsid w:val="00887FF3"/>
    <w:rsid w:val="008927EB"/>
    <w:rsid w:val="008929E4"/>
    <w:rsid w:val="008959AC"/>
    <w:rsid w:val="008973C8"/>
    <w:rsid w:val="008A03A2"/>
    <w:rsid w:val="008A3802"/>
    <w:rsid w:val="008A4F53"/>
    <w:rsid w:val="008C72B7"/>
    <w:rsid w:val="008D4035"/>
    <w:rsid w:val="008E1262"/>
    <w:rsid w:val="008E5C24"/>
    <w:rsid w:val="008F0E3C"/>
    <w:rsid w:val="008F31D3"/>
    <w:rsid w:val="00903194"/>
    <w:rsid w:val="00903F9B"/>
    <w:rsid w:val="0091164F"/>
    <w:rsid w:val="00913B32"/>
    <w:rsid w:val="00914C97"/>
    <w:rsid w:val="00921C79"/>
    <w:rsid w:val="00924AE2"/>
    <w:rsid w:val="00934253"/>
    <w:rsid w:val="0093631C"/>
    <w:rsid w:val="009426A4"/>
    <w:rsid w:val="00946410"/>
    <w:rsid w:val="0095448C"/>
    <w:rsid w:val="00960663"/>
    <w:rsid w:val="009607CC"/>
    <w:rsid w:val="00960DA9"/>
    <w:rsid w:val="0096104D"/>
    <w:rsid w:val="00963C01"/>
    <w:rsid w:val="009661C2"/>
    <w:rsid w:val="0096661D"/>
    <w:rsid w:val="00983B93"/>
    <w:rsid w:val="0099078C"/>
    <w:rsid w:val="009912DD"/>
    <w:rsid w:val="0099432D"/>
    <w:rsid w:val="00996217"/>
    <w:rsid w:val="009A52A8"/>
    <w:rsid w:val="009A7B89"/>
    <w:rsid w:val="009B0EA9"/>
    <w:rsid w:val="009B4EA0"/>
    <w:rsid w:val="009B6CDE"/>
    <w:rsid w:val="009C54C4"/>
    <w:rsid w:val="009C5B04"/>
    <w:rsid w:val="009D3CBA"/>
    <w:rsid w:val="009D6FA3"/>
    <w:rsid w:val="00A01CAA"/>
    <w:rsid w:val="00A02EDB"/>
    <w:rsid w:val="00A11238"/>
    <w:rsid w:val="00A1582F"/>
    <w:rsid w:val="00A21FE7"/>
    <w:rsid w:val="00A235C6"/>
    <w:rsid w:val="00A25411"/>
    <w:rsid w:val="00A25816"/>
    <w:rsid w:val="00A40625"/>
    <w:rsid w:val="00A41536"/>
    <w:rsid w:val="00A46C79"/>
    <w:rsid w:val="00A50CBD"/>
    <w:rsid w:val="00A56FEA"/>
    <w:rsid w:val="00A579BB"/>
    <w:rsid w:val="00A7259D"/>
    <w:rsid w:val="00A80509"/>
    <w:rsid w:val="00AB099F"/>
    <w:rsid w:val="00AB0B53"/>
    <w:rsid w:val="00AB4C4C"/>
    <w:rsid w:val="00AB522F"/>
    <w:rsid w:val="00AC1780"/>
    <w:rsid w:val="00AC4123"/>
    <w:rsid w:val="00AC63D3"/>
    <w:rsid w:val="00AD72FB"/>
    <w:rsid w:val="00AE6FDF"/>
    <w:rsid w:val="00AF2C73"/>
    <w:rsid w:val="00B03475"/>
    <w:rsid w:val="00B03E00"/>
    <w:rsid w:val="00B2474A"/>
    <w:rsid w:val="00B24BDE"/>
    <w:rsid w:val="00B442AD"/>
    <w:rsid w:val="00B44BF9"/>
    <w:rsid w:val="00B45948"/>
    <w:rsid w:val="00B46BD9"/>
    <w:rsid w:val="00B51611"/>
    <w:rsid w:val="00B54014"/>
    <w:rsid w:val="00B63E80"/>
    <w:rsid w:val="00B65F2F"/>
    <w:rsid w:val="00B813B9"/>
    <w:rsid w:val="00B84A3F"/>
    <w:rsid w:val="00B92EC3"/>
    <w:rsid w:val="00BA14F9"/>
    <w:rsid w:val="00BA4CE9"/>
    <w:rsid w:val="00BB1313"/>
    <w:rsid w:val="00BC0B51"/>
    <w:rsid w:val="00BD1107"/>
    <w:rsid w:val="00BD2D1B"/>
    <w:rsid w:val="00BE2F0D"/>
    <w:rsid w:val="00BE34C4"/>
    <w:rsid w:val="00BE5BE7"/>
    <w:rsid w:val="00C17DCF"/>
    <w:rsid w:val="00C25B19"/>
    <w:rsid w:val="00C4391E"/>
    <w:rsid w:val="00C526D1"/>
    <w:rsid w:val="00C53875"/>
    <w:rsid w:val="00C54C2C"/>
    <w:rsid w:val="00C55BC6"/>
    <w:rsid w:val="00C659E2"/>
    <w:rsid w:val="00C710D3"/>
    <w:rsid w:val="00C72E22"/>
    <w:rsid w:val="00C854EE"/>
    <w:rsid w:val="00C8746D"/>
    <w:rsid w:val="00CA28AF"/>
    <w:rsid w:val="00CB5D3F"/>
    <w:rsid w:val="00CC43E0"/>
    <w:rsid w:val="00CC7445"/>
    <w:rsid w:val="00CE1554"/>
    <w:rsid w:val="00CE2DC0"/>
    <w:rsid w:val="00CF0540"/>
    <w:rsid w:val="00CF3539"/>
    <w:rsid w:val="00CF523B"/>
    <w:rsid w:val="00D10E1A"/>
    <w:rsid w:val="00D113B3"/>
    <w:rsid w:val="00D21595"/>
    <w:rsid w:val="00D3359C"/>
    <w:rsid w:val="00D5070D"/>
    <w:rsid w:val="00D50AD0"/>
    <w:rsid w:val="00D5372B"/>
    <w:rsid w:val="00D55353"/>
    <w:rsid w:val="00D7173D"/>
    <w:rsid w:val="00D87309"/>
    <w:rsid w:val="00D9060A"/>
    <w:rsid w:val="00D933AF"/>
    <w:rsid w:val="00D976FC"/>
    <w:rsid w:val="00DA0C07"/>
    <w:rsid w:val="00DA2694"/>
    <w:rsid w:val="00DA5030"/>
    <w:rsid w:val="00DB58F4"/>
    <w:rsid w:val="00DB653C"/>
    <w:rsid w:val="00DD2E58"/>
    <w:rsid w:val="00DE2C93"/>
    <w:rsid w:val="00DE3FBD"/>
    <w:rsid w:val="00DF5A3A"/>
    <w:rsid w:val="00DF5F07"/>
    <w:rsid w:val="00E03030"/>
    <w:rsid w:val="00E0426A"/>
    <w:rsid w:val="00E23EB8"/>
    <w:rsid w:val="00E304C0"/>
    <w:rsid w:val="00E33531"/>
    <w:rsid w:val="00E337C7"/>
    <w:rsid w:val="00E35F3F"/>
    <w:rsid w:val="00E35F46"/>
    <w:rsid w:val="00E373F2"/>
    <w:rsid w:val="00E44296"/>
    <w:rsid w:val="00E45117"/>
    <w:rsid w:val="00E517C1"/>
    <w:rsid w:val="00E51BA5"/>
    <w:rsid w:val="00E61D8B"/>
    <w:rsid w:val="00E759FD"/>
    <w:rsid w:val="00E869B2"/>
    <w:rsid w:val="00E90C32"/>
    <w:rsid w:val="00EA5147"/>
    <w:rsid w:val="00EB5AA0"/>
    <w:rsid w:val="00EC1927"/>
    <w:rsid w:val="00EC363B"/>
    <w:rsid w:val="00EC6666"/>
    <w:rsid w:val="00ED08F9"/>
    <w:rsid w:val="00ED13A8"/>
    <w:rsid w:val="00ED5F1A"/>
    <w:rsid w:val="00EE74AA"/>
    <w:rsid w:val="00EE791C"/>
    <w:rsid w:val="00EF317F"/>
    <w:rsid w:val="00EF77B8"/>
    <w:rsid w:val="00F0349C"/>
    <w:rsid w:val="00F07050"/>
    <w:rsid w:val="00F13643"/>
    <w:rsid w:val="00F16367"/>
    <w:rsid w:val="00F20EAE"/>
    <w:rsid w:val="00F24C14"/>
    <w:rsid w:val="00F2792C"/>
    <w:rsid w:val="00F339F6"/>
    <w:rsid w:val="00F42032"/>
    <w:rsid w:val="00F43558"/>
    <w:rsid w:val="00F4507E"/>
    <w:rsid w:val="00F50753"/>
    <w:rsid w:val="00F5364C"/>
    <w:rsid w:val="00F53FC3"/>
    <w:rsid w:val="00F55DC4"/>
    <w:rsid w:val="00F601AC"/>
    <w:rsid w:val="00F60371"/>
    <w:rsid w:val="00F75CAF"/>
    <w:rsid w:val="00F80C07"/>
    <w:rsid w:val="00F81E4E"/>
    <w:rsid w:val="00FB7A2E"/>
    <w:rsid w:val="00FC1D7C"/>
    <w:rsid w:val="00FC5DA4"/>
    <w:rsid w:val="00FC6380"/>
    <w:rsid w:val="00FD249F"/>
    <w:rsid w:val="00FE72BC"/>
    <w:rsid w:val="00FE7B7E"/>
    <w:rsid w:val="00FF0AE7"/>
    <w:rsid w:val="00FF1767"/>
    <w:rsid w:val="00FF1F71"/>
    <w:rsid w:val="00FF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4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24B"/>
    <w:pPr>
      <w:widowControl w:val="0"/>
      <w:spacing w:after="220"/>
    </w:pPr>
    <w:rPr>
      <w:rFonts w:ascii="Arial" w:hAnsi="Arial"/>
      <w:snapToGrid w:val="0"/>
      <w:sz w:val="22"/>
      <w:lang w:eastAsia="en-US"/>
    </w:rPr>
  </w:style>
  <w:style w:type="paragraph" w:styleId="Heading1">
    <w:name w:val="heading 1"/>
    <w:basedOn w:val="05IANumberedparagraph"/>
    <w:next w:val="Normal"/>
    <w:qFormat/>
    <w:rsid w:val="00125B9E"/>
    <w:pPr>
      <w:numPr>
        <w:numId w:val="0"/>
      </w:numPr>
      <w:outlineLvl w:val="0"/>
    </w:pPr>
    <w:rPr>
      <w:b/>
      <w:color w:val="9F1C64"/>
      <w:sz w:val="32"/>
    </w:rPr>
  </w:style>
  <w:style w:type="paragraph" w:styleId="Heading2">
    <w:name w:val="heading 2"/>
    <w:basedOn w:val="05IANumberedparagraph"/>
    <w:next w:val="Normal"/>
    <w:link w:val="Heading2Char"/>
    <w:qFormat/>
    <w:rsid w:val="00125B9E"/>
    <w:pPr>
      <w:numPr>
        <w:numId w:val="0"/>
      </w:numPr>
      <w:outlineLvl w:val="1"/>
    </w:pPr>
    <w:rPr>
      <w:b/>
      <w:color w:val="7F7F7F" w:themeColor="text1" w:themeTint="80"/>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74524B"/>
    <w:pPr>
      <w:keepNext/>
      <w:widowControl/>
      <w:spacing w:after="0"/>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uiPriority w:val="99"/>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5"/>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qFormat/>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16"/>
      </w:numPr>
    </w:pPr>
  </w:style>
  <w:style w:type="numbering" w:customStyle="1" w:styleId="QAAmultilist">
    <w:name w:val="QAA multi list"/>
    <w:uiPriority w:val="99"/>
    <w:rsid w:val="00566E7B"/>
    <w:pPr>
      <w:numPr>
        <w:numId w:val="15"/>
      </w:numPr>
    </w:pPr>
  </w:style>
  <w:style w:type="numbering" w:customStyle="1" w:styleId="QAAlist">
    <w:name w:val="QAA list"/>
    <w:uiPriority w:val="99"/>
    <w:rsid w:val="002A46AB"/>
    <w:pPr>
      <w:numPr>
        <w:numId w:val="17"/>
      </w:numPr>
    </w:pPr>
  </w:style>
  <w:style w:type="paragraph" w:customStyle="1" w:styleId="HKJHJKHJKHk">
    <w:name w:val="HKJHJKHJKHk"/>
    <w:basedOn w:val="Numbered"/>
    <w:link w:val="QAAnumberedChar"/>
    <w:rsid w:val="002A46AB"/>
    <w:pPr>
      <w:widowControl/>
      <w:numPr>
        <w:numId w:val="18"/>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28"/>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23"/>
      </w:numPr>
    </w:pPr>
  </w:style>
  <w:style w:type="numbering" w:customStyle="1" w:styleId="LIST2">
    <w:name w:val="LIST2"/>
    <w:uiPriority w:val="99"/>
    <w:rsid w:val="00637F2D"/>
    <w:pPr>
      <w:numPr>
        <w:numId w:val="24"/>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iPriority w:val="99"/>
    <w:unhideWhenUsed/>
    <w:rsid w:val="005B6743"/>
    <w:rPr>
      <w:color w:val="0000FF"/>
      <w:u w:val="single"/>
    </w:rPr>
  </w:style>
  <w:style w:type="paragraph" w:customStyle="1" w:styleId="QAAbullet">
    <w:name w:val="QAA bullet"/>
    <w:basedOn w:val="05IANumberedparagraph"/>
    <w:link w:val="QAAbulletChar"/>
    <w:qFormat/>
    <w:rsid w:val="0074524B"/>
    <w:pPr>
      <w:numPr>
        <w:numId w:val="14"/>
      </w:numPr>
      <w:spacing w:after="0"/>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4524B"/>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74524B"/>
    <w:pPr>
      <w:widowControl/>
      <w:numPr>
        <w:numId w:val="46"/>
      </w:numPr>
      <w:tabs>
        <w:tab w:val="left" w:pos="1701"/>
      </w:tabs>
      <w:spacing w:after="0" w:line="300" w:lineRule="exact"/>
      <w:ind w:left="1702" w:hanging="851"/>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125B9E"/>
    <w:rPr>
      <w:rFonts w:ascii="Arial" w:hAnsi="Arial"/>
      <w:b/>
      <w:snapToGrid w:val="0"/>
      <w:color w:val="7F7F7F" w:themeColor="text1" w:themeTint="80"/>
      <w:sz w:val="28"/>
      <w:lang w:eastAsia="en-US"/>
    </w:rPr>
  </w:style>
  <w:style w:type="character" w:customStyle="1" w:styleId="Heading2contentsChar">
    <w:name w:val="Heading 2 contents Char"/>
    <w:basedOn w:val="Heading2Char"/>
    <w:link w:val="Heading2contents"/>
    <w:rsid w:val="00341667"/>
    <w:rPr>
      <w:rFonts w:ascii="Arial" w:hAnsi="Arial"/>
      <w:b/>
      <w:snapToGrid w:val="0"/>
      <w:color w:val="7F7F7F" w:themeColor="text1" w:themeTint="80"/>
      <w:sz w:val="28"/>
      <w:lang w:eastAsia="en-US"/>
    </w:rPr>
  </w:style>
  <w:style w:type="paragraph" w:customStyle="1" w:styleId="NumberedRoman">
    <w:name w:val="Numbered Roman"/>
    <w:basedOn w:val="Normal"/>
    <w:rsid w:val="007722B7"/>
    <w:pPr>
      <w:numPr>
        <w:numId w:val="4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Title">
    <w:name w:val="Title"/>
    <w:aliases w:val="Strand title"/>
    <w:basedOn w:val="Normal"/>
    <w:next w:val="Normal"/>
    <w:link w:val="TitleChar"/>
    <w:uiPriority w:val="10"/>
    <w:qFormat/>
    <w:rsid w:val="008414AB"/>
    <w:pPr>
      <w:spacing w:after="0"/>
      <w:contextualSpacing/>
      <w:jc w:val="center"/>
    </w:pPr>
    <w:rPr>
      <w:rFonts w:eastAsiaTheme="majorEastAsia" w:cstheme="majorBidi"/>
      <w:b/>
      <w:color w:val="0076A8"/>
      <w:sz w:val="40"/>
      <w:szCs w:val="56"/>
    </w:rPr>
  </w:style>
  <w:style w:type="character" w:customStyle="1" w:styleId="TitleChar">
    <w:name w:val="Title Char"/>
    <w:aliases w:val="Strand title Char"/>
    <w:basedOn w:val="DefaultParagraphFont"/>
    <w:link w:val="Title"/>
    <w:uiPriority w:val="10"/>
    <w:rsid w:val="008414AB"/>
    <w:rPr>
      <w:rFonts w:ascii="Arial" w:eastAsiaTheme="majorEastAsia" w:hAnsi="Arial" w:cstheme="majorBidi"/>
      <w:b/>
      <w:snapToGrid w:val="0"/>
      <w:color w:val="0076A8"/>
      <w:sz w:val="40"/>
      <w:szCs w:val="56"/>
      <w:lang w:eastAsia="en-US"/>
    </w:rPr>
  </w:style>
  <w:style w:type="paragraph" w:customStyle="1" w:styleId="Papertitle">
    <w:name w:val="Paper title"/>
    <w:basedOn w:val="Title"/>
    <w:qFormat/>
    <w:rsid w:val="008414AB"/>
    <w:rPr>
      <w:color w:val="595959" w:themeColor="text1" w:themeTint="A6"/>
    </w:rPr>
  </w:style>
  <w:style w:type="character" w:customStyle="1" w:styleId="normaltextrun">
    <w:name w:val="normaltextrun"/>
    <w:basedOn w:val="DefaultParagraphFont"/>
    <w:rsid w:val="00565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4571">
      <w:bodyDiv w:val="1"/>
      <w:marLeft w:val="0"/>
      <w:marRight w:val="0"/>
      <w:marTop w:val="0"/>
      <w:marBottom w:val="0"/>
      <w:divBdr>
        <w:top w:val="none" w:sz="0" w:space="0" w:color="auto"/>
        <w:left w:val="none" w:sz="0" w:space="0" w:color="auto"/>
        <w:bottom w:val="none" w:sz="0" w:space="0" w:color="auto"/>
        <w:right w:val="none" w:sz="0" w:space="0" w:color="auto"/>
      </w:divBdr>
    </w:div>
    <w:div w:id="1005978783">
      <w:bodyDiv w:val="1"/>
      <w:marLeft w:val="0"/>
      <w:marRight w:val="0"/>
      <w:marTop w:val="0"/>
      <w:marBottom w:val="0"/>
      <w:divBdr>
        <w:top w:val="none" w:sz="0" w:space="0" w:color="auto"/>
        <w:left w:val="none" w:sz="0" w:space="0" w:color="auto"/>
        <w:bottom w:val="none" w:sz="0" w:space="0" w:color="auto"/>
        <w:right w:val="none" w:sz="0" w:space="0" w:color="auto"/>
      </w:divBdr>
    </w:div>
    <w:div w:id="20758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cademy.ac.uk/knowledge-hub/supporting-student-success-strategies-institutional-chan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arqs.ac.uk/upfiles/SEFScotlan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academy.ac.uk/system/files/dimensions_of_quality.pdf" TargetMode="External"/><Relationship Id="rId4" Type="http://schemas.openxmlformats.org/officeDocument/2006/relationships/settings" Target="settings.xml"/><Relationship Id="rId9" Type="http://schemas.openxmlformats.org/officeDocument/2006/relationships/hyperlink" Target="https://www.sciencedirect.com/journal/city-culture-and-society/vol/7/issue/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5EB7-8962-49B5-BB42-0569F906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2019-10-22T12:29:00Z</dcterms:created>
  <dcterms:modified xsi:type="dcterms:W3CDTF">2019-10-22T12:29:00Z</dcterms:modified>
</cp:coreProperties>
</file>