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65" w:rsidRPr="00814CC1" w:rsidRDefault="00084CD2" w:rsidP="00974582">
      <w:pPr>
        <w:pStyle w:val="Title"/>
        <w:jc w:val="center"/>
        <w:rPr>
          <w:sz w:val="36"/>
          <w:szCs w:val="36"/>
        </w:rPr>
      </w:pPr>
      <w:bookmarkStart w:id="0" w:name="_GoBack"/>
      <w:r w:rsidRPr="00814CC1">
        <w:rPr>
          <w:sz w:val="36"/>
          <w:szCs w:val="36"/>
        </w:rPr>
        <w:t xml:space="preserve">University of Edinburgh </w:t>
      </w:r>
      <w:bookmarkEnd w:id="0"/>
      <w:r w:rsidRPr="00814CC1">
        <w:rPr>
          <w:sz w:val="36"/>
          <w:szCs w:val="36"/>
        </w:rPr>
        <w:t>Lecture Recording Evaluation</w:t>
      </w:r>
    </w:p>
    <w:p w:rsidR="00084CD2" w:rsidRPr="00344A24" w:rsidRDefault="008268DB" w:rsidP="00974582">
      <w:pPr>
        <w:pStyle w:val="Title"/>
        <w:jc w:val="center"/>
        <w:rPr>
          <w:sz w:val="32"/>
          <w:szCs w:val="36"/>
        </w:rPr>
      </w:pPr>
      <w:r>
        <w:rPr>
          <w:sz w:val="32"/>
          <w:szCs w:val="36"/>
        </w:rPr>
        <w:t>Evaluation Structure</w:t>
      </w:r>
    </w:p>
    <w:p w:rsidR="00344A24" w:rsidRPr="00344A24" w:rsidRDefault="00344A24">
      <w:pPr>
        <w:rPr>
          <w:sz w:val="10"/>
        </w:rPr>
      </w:pPr>
    </w:p>
    <w:p w:rsidR="006E2265" w:rsidRDefault="003413AA">
      <w:r>
        <w:t>The adoption and roll-out of technologies can act as a disruptor to cultural norms</w:t>
      </w:r>
      <w:r>
        <w:fldChar w:fldCharType="begin" w:fldLock="1"/>
      </w:r>
      <w:r w:rsidR="007E2F25">
        <w:instrText>ADDIN CSL_CITATION { "citationItems" : [ { "id" : "ITEM-1", "itemData" : { "DOI" : "10.1287/isre.1070.0126", "ISBN" : "10477047", "ISSN" : "10477047", "abstract" : "H ow are business schools thinking about developing leaders for the emerging digital economy? Is there a set of core principles we can apply to thinking about the enabling potential of information technologies and their consequences for business and society? We present a business-centric framework and a technology- centric framework that together form a blueprint for answering these questions. The business-centric framework articulates three compelling reasons why information technology (IT) matters in business: (1) IT continually transform industry and society, (2) executive decisions about IT investments, governance, and strategy are critical to organizational success, and (3) deriving value from increasingly available data trails defines effective decision making in the digital economy. However, our conversations with the leadership of 45 business schools and our subsequent data indicate that business schools are challenged by effectively training future executives to think about these reasons and act on them as part of a forward-looking program of business education that is grounded in stable concepts. In response, the technology-centric framework provides a set of grounding concepts and stable principles about IT that have emerged over the last four decades, and leads to a natural set of consequences that can inform thinking about IT in business. We illustrate how these complementary frameworks\u2014business and technology\u2014can be combined to frame an educational program by outlining a set of key questions, by placing these questions in the context suggested by our frameworks, and by providing guidelines toward answering them. These questions also define a natural path for future research about IT in business and society that will lead to stronger intellectual foundations for the field and define future education that is better grounded in concepts and theories that emerge from academic research.", "author" : [ { "dropping-particle" : "", "family" : "Dhar", "given" : "Vasant", "non-dropping-particle" : "", "parse-names" : false, "suffix" : "" }, { "dropping-particle" : "", "family" : "Sundararajan", "given" : "Arun", "non-dropping-particle" : "", "parse-names" : false, "suffix" : "" } ], "container-title" : "Information Systems Research", "id" : "ITEM-1", "issue" : "2", "issued" : { "date-parts" : [ [ "2007" ] ] }, "page" : "125-141", "title" : "Information technologies in business: A blueprint for education and research", "type" : "article-journal", "volume" : "18" }, "uris" : [ "http://www.mendeley.com/documents/?uuid=92bf473c-474d-40fb-a1ba-87b663137f93" ] } ], "mendeley" : { "formattedCitation" : "&lt;sup&gt;1&lt;/sup&gt;", "plainTextFormattedCitation" : "1", "previouslyFormattedCitation" : "&lt;sup&gt;1&lt;/sup&gt;" }, "properties" : { "noteIndex" : 1 }, "schema" : "https://github.com/citation-style-language/schema/raw/master/csl-citation.json" }</w:instrText>
      </w:r>
      <w:r>
        <w:fldChar w:fldCharType="separate"/>
      </w:r>
      <w:r w:rsidRPr="003413AA">
        <w:rPr>
          <w:noProof/>
          <w:vertAlign w:val="superscript"/>
        </w:rPr>
        <w:t>1</w:t>
      </w:r>
      <w:r>
        <w:fldChar w:fldCharType="end"/>
      </w:r>
      <w:r>
        <w:t>, including within the organisational culture of a university</w:t>
      </w:r>
      <w:r>
        <w:fldChar w:fldCharType="begin" w:fldLock="1"/>
      </w:r>
      <w:r w:rsidR="007E2F25">
        <w:instrText>ADDIN CSL_CITATION { "citationItems" : [ { "id" : "ITEM-1", "itemData" : { "abstract" : "About this Research College and university leaders realize they need to be more strategic in cultivating a climate for creativity and innovation in their organizations. Yet the concept of innovation remains nebulous, the theory of disruptive innovation is frequently inappropriately applied, and the conditions that enable a culture of innovation are not well understood. To help campus leaders address these concerns, the TIAA Institute invited this work by William Tierney and Michael Lanford. They posit that the theory of disruptive innovation is of limited utility for a sector as complex as higher education. Instead, research demonstrates that three conditions are crucial for promoting an organizational climate that fosters strategic innovation: diversity of people, proficiencies and opinions; intrinsic motivation rather than external rewards; and autonomy of the individuals working to effect an institution' s mission. The TIAA Institute helps advance the ways individuals and institutions plan for financial security and organizational effectiveness. The Institute conducts in-depth research, provides access to a network of thought leaders, and enables those it serves to anticipate trends, plan future strategies and maximize opportunities for success. To learn more, visit www.tiaainstitute.org.", "author" : [ { "dropping-particle" : "", "family" : "Tierney", "given" : "William G", "non-dropping-particle" : "", "parse-names" : false, "suffix" : "" }, { "dropping-particle" : "", "family" : "Lanford", "given" : "Michael", "non-dropping-particle" : "", "parse-names" : false, "suffix" : "" } ], "id" : "ITEM-1", "issued" : { "date-parts" : [ [ "2016" ] ] }, "number-of-pages" : "24", "publisher-place" : "New York", "title" : "Cultivating strategic innovation in higher education", "type" : "report" }, "uris" : [ "http://www.mendeley.com/documents/?uuid=b3597348-0392-477e-bdba-54ef1202d6b4" ] } ], "mendeley" : { "formattedCitation" : "&lt;sup&gt;2&lt;/sup&gt;", "plainTextFormattedCitation" : "2", "previouslyFormattedCitation" : "&lt;sup&gt;2&lt;/sup&gt;" }, "properties" : { "noteIndex" : 1 }, "schema" : "https://github.com/citation-style-language/schema/raw/master/csl-citation.json" }</w:instrText>
      </w:r>
      <w:r>
        <w:fldChar w:fldCharType="separate"/>
      </w:r>
      <w:r w:rsidRPr="003413AA">
        <w:rPr>
          <w:noProof/>
          <w:vertAlign w:val="superscript"/>
        </w:rPr>
        <w:t>2</w:t>
      </w:r>
      <w:r>
        <w:fldChar w:fldCharType="end"/>
      </w:r>
      <w:r>
        <w:t xml:space="preserve">. </w:t>
      </w:r>
      <w:r w:rsidR="009F5B23">
        <w:t xml:space="preserve">At Edinburgh, we made use of an educational researcher seconded to the Information Services Group to run an </w:t>
      </w:r>
      <w:r w:rsidR="006E2265">
        <w:t>evaluation</w:t>
      </w:r>
      <w:r w:rsidR="00ED244E">
        <w:rPr>
          <w:rStyle w:val="FootnoteReference"/>
        </w:rPr>
        <w:footnoteReference w:id="1"/>
      </w:r>
      <w:r w:rsidR="006E2265">
        <w:t xml:space="preserve"> of lecture recording practice </w:t>
      </w:r>
      <w:r>
        <w:t xml:space="preserve">at the University of Edinburgh. </w:t>
      </w:r>
      <w:r w:rsidR="006E2265">
        <w:t>The cor</w:t>
      </w:r>
      <w:r w:rsidR="009F5B23">
        <w:t>e question of this evaluation was</w:t>
      </w:r>
      <w:r w:rsidR="006E2265">
        <w:t>:</w:t>
      </w:r>
    </w:p>
    <w:p w:rsidR="006E2265" w:rsidRPr="00F12AA1" w:rsidRDefault="009F5B23" w:rsidP="00A37A95">
      <w:pPr>
        <w:ind w:left="720"/>
        <w:rPr>
          <w:i/>
        </w:rPr>
      </w:pPr>
      <w:r>
        <w:rPr>
          <w:i/>
        </w:rPr>
        <w:t>What is the value of lecture recording at the</w:t>
      </w:r>
      <w:r w:rsidR="006E2265" w:rsidRPr="00F12AA1">
        <w:rPr>
          <w:i/>
        </w:rPr>
        <w:t xml:space="preserve"> University of Edinburgh</w:t>
      </w:r>
      <w:r w:rsidR="00AF5D4B">
        <w:rPr>
          <w:i/>
        </w:rPr>
        <w:t>?</w:t>
      </w:r>
    </w:p>
    <w:p w:rsidR="006E2265" w:rsidRDefault="009F5B23">
      <w:r>
        <w:t xml:space="preserve">This project mainly focussed around the collection of rich narrative data as qualitative data was </w:t>
      </w:r>
      <w:r w:rsidR="00CB5037">
        <w:t xml:space="preserve">identified </w:t>
      </w:r>
      <w:r w:rsidR="00A4578E">
        <w:t xml:space="preserve">a ‘gap’ within the scoping, and the schedule should be adapted to suit the needs of the institution in question. </w:t>
      </w:r>
      <w:r w:rsidR="00942F35">
        <w:t xml:space="preserve">Key themes identified in </w:t>
      </w:r>
      <w:r w:rsidR="00A4578E">
        <w:t>scoping should</w:t>
      </w:r>
      <w:r w:rsidR="00942F35">
        <w:t xml:space="preserve"> be followed up </w:t>
      </w:r>
      <w:r w:rsidR="00A37A95">
        <w:t>over the project’s life span</w:t>
      </w:r>
      <w:r w:rsidR="00942F35">
        <w:t xml:space="preserve">, </w:t>
      </w:r>
      <w:r w:rsidR="00A37A95">
        <w:t xml:space="preserve">both in </w:t>
      </w:r>
      <w:r w:rsidR="00A4578E">
        <w:t>repeated research and in development of resources</w:t>
      </w:r>
      <w:r w:rsidR="00A37A95">
        <w:t xml:space="preserve">. </w:t>
      </w:r>
      <w:r w:rsidR="00084CD2">
        <w:t xml:space="preserve">Additional themes or research questions can be brought in by stakeholders and connected to the central evaluation in a ‘modular’ style expansion. </w:t>
      </w:r>
    </w:p>
    <w:p w:rsidR="0026627C" w:rsidRDefault="0026627C">
      <w:pPr>
        <w:rPr>
          <w:b/>
          <w:u w:val="single"/>
        </w:rPr>
      </w:pPr>
    </w:p>
    <w:p w:rsidR="00ED244E" w:rsidRPr="00ED244E" w:rsidRDefault="00ED244E">
      <w:pPr>
        <w:rPr>
          <w:b/>
          <w:u w:val="single"/>
        </w:rPr>
      </w:pPr>
      <w:r w:rsidRPr="00ED244E">
        <w:rPr>
          <w:b/>
          <w:u w:val="single"/>
        </w:rPr>
        <w:t>Staffing</w:t>
      </w:r>
      <w:r>
        <w:rPr>
          <w:b/>
          <w:u w:val="single"/>
        </w:rPr>
        <w:t xml:space="preserve"> and Costs</w:t>
      </w:r>
    </w:p>
    <w:p w:rsidR="00ED244E" w:rsidRDefault="00ED244E">
      <w:r>
        <w:t xml:space="preserve">The secondment at Edinburgh was to the Information Services Group. The researcher was seconded for 2 x 25 week periods, for 2 days per week in each period (a total of 100 days). After the first period was wrapped up, the project was expanded upon to develop further guidance resulting in the second 25 week secondment period. </w:t>
      </w:r>
      <w:r w:rsidR="008268DB">
        <w:t xml:space="preserve">Existing resources, e.g. Edinburgh Guidance Development Workshops, may remove the need for the second secondment. </w:t>
      </w:r>
    </w:p>
    <w:p w:rsidR="00ED244E" w:rsidRDefault="00ED244E">
      <w:r>
        <w:t xml:space="preserve">The secondment was also greatly supported by the Principal’s Teaching Award Scheme (PTAS) projects which were related to lecture recording. </w:t>
      </w:r>
    </w:p>
    <w:tbl>
      <w:tblPr>
        <w:tblStyle w:val="GridTable1Light"/>
        <w:tblW w:w="0" w:type="auto"/>
        <w:tblLook w:val="04A0" w:firstRow="1" w:lastRow="0" w:firstColumn="1" w:lastColumn="0" w:noHBand="0" w:noVBand="1"/>
      </w:tblPr>
      <w:tblGrid>
        <w:gridCol w:w="4508"/>
        <w:gridCol w:w="4508"/>
      </w:tblGrid>
      <w:tr w:rsidR="00ED244E" w:rsidTr="00EA6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D244E" w:rsidRDefault="00ED244E" w:rsidP="00EA6786">
            <w:r>
              <w:t>Resource</w:t>
            </w:r>
          </w:p>
        </w:tc>
        <w:tc>
          <w:tcPr>
            <w:tcW w:w="4508" w:type="dxa"/>
          </w:tcPr>
          <w:p w:rsidR="00ED244E" w:rsidRDefault="00ED244E" w:rsidP="00EA6786">
            <w:pPr>
              <w:cnfStyle w:val="100000000000" w:firstRow="1" w:lastRow="0" w:firstColumn="0" w:lastColumn="0" w:oddVBand="0" w:evenVBand="0" w:oddHBand="0" w:evenHBand="0" w:firstRowFirstColumn="0" w:firstRowLastColumn="0" w:lastRowFirstColumn="0" w:lastRowLastColumn="0"/>
            </w:pPr>
            <w:r>
              <w:t>Cost</w:t>
            </w:r>
          </w:p>
        </w:tc>
      </w:tr>
      <w:tr w:rsidR="00ED244E" w:rsidTr="00EA6786">
        <w:tc>
          <w:tcPr>
            <w:cnfStyle w:val="001000000000" w:firstRow="0" w:lastRow="0" w:firstColumn="1" w:lastColumn="0" w:oddVBand="0" w:evenVBand="0" w:oddHBand="0" w:evenHBand="0" w:firstRowFirstColumn="0" w:firstRowLastColumn="0" w:lastRowFirstColumn="0" w:lastRowLastColumn="0"/>
            <w:tcW w:w="4508" w:type="dxa"/>
          </w:tcPr>
          <w:p w:rsidR="00ED244E" w:rsidRDefault="00ED244E" w:rsidP="00EA6786">
            <w:r>
              <w:t xml:space="preserve">Staff secondment </w:t>
            </w:r>
          </w:p>
        </w:tc>
        <w:tc>
          <w:tcPr>
            <w:tcW w:w="4508" w:type="dxa"/>
          </w:tcPr>
          <w:p w:rsidR="00ED244E" w:rsidRPr="006B75ED" w:rsidRDefault="00ED244E" w:rsidP="00EA6786">
            <w:pPr>
              <w:cnfStyle w:val="000000000000" w:firstRow="0" w:lastRow="0" w:firstColumn="0" w:lastColumn="0" w:oddVBand="0" w:evenVBand="0" w:oddHBand="0" w:evenHBand="0" w:firstRowFirstColumn="0" w:firstRowLastColumn="0" w:lastRowFirstColumn="0" w:lastRowLastColumn="0"/>
            </w:pPr>
            <w:r>
              <w:t>2 days per week x 25 weeks (5</w:t>
            </w:r>
            <w:r w:rsidRPr="006B75ED">
              <w:t>0 days)</w:t>
            </w:r>
          </w:p>
        </w:tc>
      </w:tr>
      <w:tr w:rsidR="00ED244E" w:rsidTr="00EA6786">
        <w:tc>
          <w:tcPr>
            <w:cnfStyle w:val="001000000000" w:firstRow="0" w:lastRow="0" w:firstColumn="1" w:lastColumn="0" w:oddVBand="0" w:evenVBand="0" w:oddHBand="0" w:evenHBand="0" w:firstRowFirstColumn="0" w:firstRowLastColumn="0" w:lastRowFirstColumn="0" w:lastRowLastColumn="0"/>
            <w:tcW w:w="4508" w:type="dxa"/>
          </w:tcPr>
          <w:p w:rsidR="00ED244E" w:rsidRDefault="00ED244E" w:rsidP="00EA6786">
            <w:r>
              <w:t xml:space="preserve">Transcripts of interviews and focus groups </w:t>
            </w:r>
          </w:p>
          <w:p w:rsidR="00ED244E" w:rsidRPr="0090282A" w:rsidRDefault="00ED244E" w:rsidP="00EA6786">
            <w:pPr>
              <w:pStyle w:val="ListParagraph"/>
              <w:numPr>
                <w:ilvl w:val="0"/>
                <w:numId w:val="10"/>
              </w:numPr>
            </w:pPr>
            <w:r w:rsidRPr="0090282A">
              <w:t>20x 1 hour interviews</w:t>
            </w:r>
          </w:p>
          <w:p w:rsidR="00ED244E" w:rsidRPr="0090282A" w:rsidRDefault="00ED244E" w:rsidP="00EA6786">
            <w:pPr>
              <w:pStyle w:val="ListParagraph"/>
              <w:numPr>
                <w:ilvl w:val="0"/>
                <w:numId w:val="10"/>
              </w:numPr>
            </w:pPr>
            <w:r w:rsidRPr="0090282A">
              <w:t>4 x 1 hour focus groups</w:t>
            </w:r>
          </w:p>
        </w:tc>
        <w:tc>
          <w:tcPr>
            <w:tcW w:w="4508" w:type="dxa"/>
          </w:tcPr>
          <w:p w:rsidR="00ED244E" w:rsidRDefault="00ED244E" w:rsidP="00EA6786">
            <w:pPr>
              <w:cnfStyle w:val="000000000000" w:firstRow="0" w:lastRow="0" w:firstColumn="0" w:lastColumn="0" w:oddVBand="0" w:evenVBand="0" w:oddHBand="0" w:evenHBand="0" w:firstRowFirstColumn="0" w:firstRowLastColumn="0" w:lastRowFirstColumn="0" w:lastRowLastColumn="0"/>
            </w:pPr>
            <w:r>
              <w:t>University supplier “Transcript Divas” (Prices as of 2018)</w:t>
            </w:r>
          </w:p>
          <w:p w:rsidR="00ED244E" w:rsidRDefault="00ED244E" w:rsidP="00EA6786">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£1,152</w:t>
            </w:r>
          </w:p>
          <w:p w:rsidR="00ED244E" w:rsidRDefault="00ED244E" w:rsidP="00EA6786">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£345.60</w:t>
            </w:r>
          </w:p>
        </w:tc>
      </w:tr>
      <w:tr w:rsidR="00ED244E" w:rsidTr="00EA6786">
        <w:tc>
          <w:tcPr>
            <w:cnfStyle w:val="001000000000" w:firstRow="0" w:lastRow="0" w:firstColumn="1" w:lastColumn="0" w:oddVBand="0" w:evenVBand="0" w:oddHBand="0" w:evenHBand="0" w:firstRowFirstColumn="0" w:firstRowLastColumn="0" w:lastRowFirstColumn="0" w:lastRowLastColumn="0"/>
            <w:tcW w:w="4508" w:type="dxa"/>
          </w:tcPr>
          <w:p w:rsidR="00ED244E" w:rsidRDefault="00ED244E" w:rsidP="00EA6786">
            <w:r>
              <w:t>Dissemination</w:t>
            </w:r>
          </w:p>
          <w:p w:rsidR="00ED244E" w:rsidRDefault="00ED244E" w:rsidP="00EA6786">
            <w:r>
              <w:t xml:space="preserve">Print, e.g. </w:t>
            </w:r>
            <w:proofErr w:type="spellStart"/>
            <w:r>
              <w:t>EngagEd</w:t>
            </w:r>
            <w:proofErr w:type="spellEnd"/>
            <w:r>
              <w:t xml:space="preserve"> guide to lecture recording</w:t>
            </w:r>
          </w:p>
        </w:tc>
        <w:tc>
          <w:tcPr>
            <w:tcW w:w="4508" w:type="dxa"/>
          </w:tcPr>
          <w:p w:rsidR="00ED244E" w:rsidRDefault="00ED244E" w:rsidP="00EA6786">
            <w:pPr>
              <w:cnfStyle w:val="000000000000" w:firstRow="0" w:lastRow="0" w:firstColumn="0" w:lastColumn="0" w:oddVBand="0" w:evenVBand="0" w:oddHBand="0" w:evenHBand="0" w:firstRowFirstColumn="0" w:firstRowLastColumn="0" w:lastRowFirstColumn="0" w:lastRowLastColumn="0"/>
            </w:pPr>
            <w:r>
              <w:t>Print costs</w:t>
            </w:r>
          </w:p>
          <w:p w:rsidR="00ED244E" w:rsidRDefault="00ED244E" w:rsidP="00EA6786">
            <w:pPr>
              <w:cnfStyle w:val="000000000000" w:firstRow="0" w:lastRow="0" w:firstColumn="0" w:lastColumn="0" w:oddVBand="0" w:evenVBand="0" w:oddHBand="0" w:evenHBand="0" w:firstRowFirstColumn="0" w:firstRowLastColumn="0" w:lastRowFirstColumn="0" w:lastRowLastColumn="0"/>
            </w:pPr>
          </w:p>
        </w:tc>
      </w:tr>
    </w:tbl>
    <w:p w:rsidR="00ED244E" w:rsidRDefault="00ED244E"/>
    <w:p w:rsidR="00344A24" w:rsidRPr="00344A24" w:rsidRDefault="00344A24">
      <w:pPr>
        <w:rPr>
          <w:b/>
          <w:u w:val="single"/>
        </w:rPr>
      </w:pPr>
      <w:r w:rsidRPr="00344A24">
        <w:rPr>
          <w:b/>
          <w:u w:val="single"/>
        </w:rPr>
        <w:t>Project Phases:</w:t>
      </w:r>
    </w:p>
    <w:p w:rsidR="008268DB" w:rsidRDefault="008268DB" w:rsidP="00344A24">
      <w:pPr>
        <w:pStyle w:val="ListParagraph"/>
        <w:numPr>
          <w:ilvl w:val="0"/>
          <w:numId w:val="11"/>
        </w:numPr>
        <w:rPr>
          <w:b/>
        </w:rPr>
      </w:pPr>
      <w:r>
        <w:rPr>
          <w:b/>
        </w:rPr>
        <w:t>Secondment One</w:t>
      </w:r>
    </w:p>
    <w:p w:rsidR="00344A24" w:rsidRPr="00344A24" w:rsidRDefault="00A4578E" w:rsidP="008268DB">
      <w:pPr>
        <w:pStyle w:val="ListParagraph"/>
        <w:numPr>
          <w:ilvl w:val="1"/>
          <w:numId w:val="11"/>
        </w:numPr>
        <w:rPr>
          <w:b/>
        </w:rPr>
      </w:pPr>
      <w:r>
        <w:rPr>
          <w:b/>
        </w:rPr>
        <w:t>Months 1-2:</w:t>
      </w:r>
      <w:r w:rsidR="00344A24" w:rsidRPr="00344A24">
        <w:rPr>
          <w:b/>
        </w:rPr>
        <w:t xml:space="preserve">  </w:t>
      </w:r>
      <w:r w:rsidR="00344A24" w:rsidRPr="00344A24">
        <w:t>Network collation</w:t>
      </w:r>
      <w:r w:rsidR="00344A24" w:rsidRPr="00344A24">
        <w:rPr>
          <w:b/>
        </w:rPr>
        <w:t xml:space="preserve"> </w:t>
      </w:r>
    </w:p>
    <w:p w:rsidR="00344A24" w:rsidRPr="00344A24" w:rsidRDefault="00A4578E" w:rsidP="008268DB">
      <w:pPr>
        <w:pStyle w:val="ListParagraph"/>
        <w:numPr>
          <w:ilvl w:val="1"/>
          <w:numId w:val="11"/>
        </w:numPr>
        <w:rPr>
          <w:b/>
        </w:rPr>
      </w:pPr>
      <w:r>
        <w:rPr>
          <w:b/>
        </w:rPr>
        <w:t>Months 3-6</w:t>
      </w:r>
      <w:r w:rsidR="00344A24" w:rsidRPr="00344A24">
        <w:rPr>
          <w:b/>
        </w:rPr>
        <w:t>:</w:t>
      </w:r>
      <w:r w:rsidR="00344A24" w:rsidRPr="00344A24">
        <w:t xml:space="preserve"> Identification &amp; analysis of key themes</w:t>
      </w:r>
    </w:p>
    <w:p w:rsidR="00344A24" w:rsidRPr="008268DB" w:rsidRDefault="00A4578E" w:rsidP="008268DB">
      <w:pPr>
        <w:pStyle w:val="ListParagraph"/>
        <w:numPr>
          <w:ilvl w:val="1"/>
          <w:numId w:val="11"/>
        </w:numPr>
        <w:rPr>
          <w:b/>
        </w:rPr>
      </w:pPr>
      <w:r>
        <w:rPr>
          <w:b/>
        </w:rPr>
        <w:lastRenderedPageBreak/>
        <w:t>Month 7</w:t>
      </w:r>
      <w:r w:rsidR="00344A24" w:rsidRPr="00344A24">
        <w:rPr>
          <w:b/>
        </w:rPr>
        <w:t xml:space="preserve">: </w:t>
      </w:r>
      <w:r w:rsidR="00344A24" w:rsidRPr="00344A24">
        <w:t>Interim report, recommendations and outline future project implementation</w:t>
      </w:r>
    </w:p>
    <w:p w:rsidR="008268DB" w:rsidRPr="00344A24" w:rsidRDefault="008268DB" w:rsidP="00344A24">
      <w:pPr>
        <w:pStyle w:val="ListParagraph"/>
        <w:numPr>
          <w:ilvl w:val="0"/>
          <w:numId w:val="11"/>
        </w:numPr>
        <w:rPr>
          <w:b/>
        </w:rPr>
      </w:pPr>
      <w:r>
        <w:rPr>
          <w:b/>
        </w:rPr>
        <w:t>Secondment Two</w:t>
      </w:r>
    </w:p>
    <w:p w:rsidR="00344A24" w:rsidRPr="00A4578E" w:rsidRDefault="00A4578E" w:rsidP="0026627C">
      <w:pPr>
        <w:pStyle w:val="ListParagraph"/>
        <w:numPr>
          <w:ilvl w:val="1"/>
          <w:numId w:val="11"/>
        </w:numPr>
        <w:rPr>
          <w:b/>
        </w:rPr>
      </w:pPr>
      <w:r>
        <w:rPr>
          <w:b/>
        </w:rPr>
        <w:t>Months 7-18</w:t>
      </w:r>
      <w:r w:rsidR="008268DB">
        <w:rPr>
          <w:b/>
        </w:rPr>
        <w:t xml:space="preserve">: </w:t>
      </w:r>
      <w:r w:rsidR="008268DB">
        <w:t>Development of guidance development workshops</w:t>
      </w:r>
    </w:p>
    <w:p w:rsidR="00A4578E" w:rsidRPr="00344A24" w:rsidRDefault="00A4578E" w:rsidP="0026627C">
      <w:pPr>
        <w:pStyle w:val="ListParagraph"/>
        <w:numPr>
          <w:ilvl w:val="1"/>
          <w:numId w:val="11"/>
        </w:numPr>
        <w:rPr>
          <w:b/>
        </w:rPr>
      </w:pPr>
      <w:r>
        <w:rPr>
          <w:b/>
        </w:rPr>
        <w:t xml:space="preserve">Months 19-24: </w:t>
      </w:r>
      <w:r>
        <w:t>Implementation</w:t>
      </w:r>
      <w:r w:rsidR="008268DB">
        <w:t xml:space="preserve"> </w:t>
      </w:r>
    </w:p>
    <w:p w:rsidR="00344A24" w:rsidRPr="00344A24" w:rsidRDefault="000F7156" w:rsidP="00344A24">
      <w:pPr>
        <w:rPr>
          <w:b/>
          <w:u w:val="single"/>
        </w:rPr>
      </w:pPr>
      <w:r w:rsidRPr="00344A24">
        <w:rPr>
          <w:b/>
          <w:u w:val="single"/>
        </w:rPr>
        <w:t>Project Timeline</w:t>
      </w:r>
      <w:r w:rsidR="00344A24" w:rsidRPr="00344A24">
        <w:rPr>
          <w:b/>
          <w:u w:val="single"/>
        </w:rPr>
        <w:t>:</w:t>
      </w:r>
    </w:p>
    <w:tbl>
      <w:tblPr>
        <w:tblStyle w:val="GridTable1Light"/>
        <w:tblW w:w="9346" w:type="dxa"/>
        <w:tblLayout w:type="fixed"/>
        <w:tblLook w:val="04A0" w:firstRow="1" w:lastRow="0" w:firstColumn="1" w:lastColumn="0" w:noHBand="0" w:noVBand="1"/>
      </w:tblPr>
      <w:tblGrid>
        <w:gridCol w:w="1421"/>
        <w:gridCol w:w="7925"/>
      </w:tblGrid>
      <w:tr w:rsidR="008268DB" w:rsidTr="008268DB">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Months</w:t>
            </w:r>
          </w:p>
        </w:tc>
        <w:tc>
          <w:tcPr>
            <w:tcW w:w="7925" w:type="dxa"/>
          </w:tcPr>
          <w:p w:rsidR="008268DB" w:rsidRDefault="008268DB" w:rsidP="00344A24">
            <w:pPr>
              <w:cnfStyle w:val="100000000000" w:firstRow="1" w:lastRow="0" w:firstColumn="0" w:lastColumn="0" w:oddVBand="0" w:evenVBand="0" w:oddHBand="0" w:evenHBand="0" w:firstRowFirstColumn="0" w:firstRowLastColumn="0" w:lastRowFirstColumn="0" w:lastRowLastColumn="0"/>
            </w:pPr>
            <w:r>
              <w:t>Tasks</w:t>
            </w:r>
          </w:p>
        </w:tc>
      </w:tr>
      <w:tr w:rsidR="008268DB" w:rsidTr="008268DB">
        <w:trPr>
          <w:trHeight w:val="926"/>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1</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Identification of existing data (e.g. PTAS projects, current lecture recording user groups)</w:t>
            </w:r>
          </w:p>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Identifying stakeholder groups</w:t>
            </w:r>
          </w:p>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Seek ethical approval</w:t>
            </w:r>
          </w:p>
        </w:tc>
      </w:tr>
      <w:tr w:rsidR="008268DB" w:rsidTr="008268DB">
        <w:trPr>
          <w:trHeight w:val="242"/>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2</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Initial unstructured interviews with key participants</w:t>
            </w:r>
          </w:p>
        </w:tc>
      </w:tr>
      <w:tr w:rsidR="008268DB" w:rsidTr="008268DB">
        <w:trPr>
          <w:trHeight w:val="242"/>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3</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Continued interview and analysis</w:t>
            </w:r>
          </w:p>
        </w:tc>
      </w:tr>
      <w:tr w:rsidR="008268DB" w:rsidTr="008268DB">
        <w:trPr>
          <w:trHeight w:val="242"/>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4</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Unstructured focus groups and analysis</w:t>
            </w:r>
          </w:p>
        </w:tc>
      </w:tr>
      <w:tr w:rsidR="008268DB" w:rsidTr="008268DB">
        <w:trPr>
          <w:trHeight w:val="209"/>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5</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Analysis</w:t>
            </w:r>
          </w:p>
        </w:tc>
      </w:tr>
      <w:tr w:rsidR="008268DB" w:rsidTr="008268DB">
        <w:trPr>
          <w:trHeight w:val="475"/>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6</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Summation key themes and piloting any longitudinal data collection (e.g. surveys)</w:t>
            </w:r>
          </w:p>
        </w:tc>
      </w:tr>
      <w:tr w:rsidR="008268DB" w:rsidTr="008268DB">
        <w:trPr>
          <w:trHeight w:val="744"/>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7-9</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Delivery Interim report (including recommendations on staff/student developments needed)</w:t>
            </w:r>
          </w:p>
          <w:p w:rsidR="008268DB" w:rsidRDefault="008268DB" w:rsidP="008268DB">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Identify if need for expansion (e.g. development of more guidance)</w:t>
            </w:r>
          </w:p>
        </w:tc>
      </w:tr>
      <w:tr w:rsidR="008268DB" w:rsidTr="008268DB">
        <w:trPr>
          <w:trHeight w:val="242"/>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10-12</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Project expansion check</w:t>
            </w:r>
          </w:p>
        </w:tc>
      </w:tr>
      <w:tr w:rsidR="008268DB" w:rsidTr="008268DB">
        <w:trPr>
          <w:trHeight w:val="242"/>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13-18</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Follow-up interim report</w:t>
            </w:r>
          </w:p>
        </w:tc>
      </w:tr>
      <w:tr w:rsidR="008268DB" w:rsidTr="008268DB">
        <w:trPr>
          <w:trHeight w:val="485"/>
        </w:trPr>
        <w:tc>
          <w:tcPr>
            <w:cnfStyle w:val="001000000000" w:firstRow="0" w:lastRow="0" w:firstColumn="1" w:lastColumn="0" w:oddVBand="0" w:evenVBand="0" w:oddHBand="0" w:evenHBand="0" w:firstRowFirstColumn="0" w:firstRowLastColumn="0" w:lastRowFirstColumn="0" w:lastRowLastColumn="0"/>
            <w:tcW w:w="1421" w:type="dxa"/>
          </w:tcPr>
          <w:p w:rsidR="008268DB" w:rsidRDefault="008268DB" w:rsidP="00344A24">
            <w:r>
              <w:t>19-24</w:t>
            </w:r>
          </w:p>
        </w:tc>
        <w:tc>
          <w:tcPr>
            <w:tcW w:w="7925" w:type="dxa"/>
          </w:tcPr>
          <w:p w:rsidR="008268DB" w:rsidRDefault="008268DB" w:rsidP="00344A24">
            <w:pPr>
              <w:pStyle w:val="ListParagraph"/>
              <w:numPr>
                <w:ilvl w:val="0"/>
                <w:numId w:val="5"/>
              </w:numPr>
              <w:ind w:left="446"/>
              <w:cnfStyle w:val="000000000000" w:firstRow="0" w:lastRow="0" w:firstColumn="0" w:lastColumn="0" w:oddVBand="0" w:evenVBand="0" w:oddHBand="0" w:evenHBand="0" w:firstRowFirstColumn="0" w:firstRowLastColumn="0" w:lastRowFirstColumn="0" w:lastRowLastColumn="0"/>
            </w:pPr>
            <w:r>
              <w:t>Theme review</w:t>
            </w:r>
          </w:p>
          <w:p w:rsidR="008268DB" w:rsidRDefault="008268DB" w:rsidP="00344A24">
            <w:pPr>
              <w:pStyle w:val="ListParagraph"/>
              <w:ind w:left="446"/>
              <w:cnfStyle w:val="000000000000" w:firstRow="0" w:lastRow="0" w:firstColumn="0" w:lastColumn="0" w:oddVBand="0" w:evenVBand="0" w:oddHBand="0" w:evenHBand="0" w:firstRowFirstColumn="0" w:firstRowLastColumn="0" w:lastRowFirstColumn="0" w:lastRowLastColumn="0"/>
            </w:pPr>
            <w:r>
              <w:t xml:space="preserve"> (have themes changed, interviews and focus groups)</w:t>
            </w:r>
          </w:p>
        </w:tc>
      </w:tr>
    </w:tbl>
    <w:p w:rsidR="000F7156" w:rsidRDefault="000F7156" w:rsidP="00344A24">
      <w:pPr>
        <w:spacing w:after="0"/>
      </w:pPr>
    </w:p>
    <w:p w:rsidR="00C61EFB" w:rsidRDefault="00344A24" w:rsidP="00C61EFB">
      <w:pPr>
        <w:rPr>
          <w:b/>
          <w:u w:val="single"/>
        </w:rPr>
      </w:pPr>
      <w:r w:rsidRPr="00344A24">
        <w:rPr>
          <w:b/>
          <w:u w:val="single"/>
        </w:rPr>
        <w:t>Key Participants:</w:t>
      </w:r>
    </w:p>
    <w:p w:rsidR="00830731" w:rsidRPr="00830731" w:rsidRDefault="00830731" w:rsidP="00C61EFB">
      <w:r>
        <w:t>Although the project will have freedom to identify currently unknown areas of interest, the secondment project will focus on the following participant groups.</w:t>
      </w:r>
    </w:p>
    <w:tbl>
      <w:tblPr>
        <w:tblStyle w:val="GridTable1Light"/>
        <w:tblW w:w="0" w:type="auto"/>
        <w:tblLook w:val="04A0" w:firstRow="1" w:lastRow="0" w:firstColumn="1" w:lastColumn="0" w:noHBand="0" w:noVBand="1"/>
      </w:tblPr>
      <w:tblGrid>
        <w:gridCol w:w="1700"/>
        <w:gridCol w:w="7316"/>
      </w:tblGrid>
      <w:tr w:rsidR="00C61EFB" w:rsidTr="00344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61EFB" w:rsidRDefault="00C61EFB" w:rsidP="005A297D">
            <w:r>
              <w:t>Participants</w:t>
            </w:r>
          </w:p>
        </w:tc>
        <w:tc>
          <w:tcPr>
            <w:tcW w:w="7325" w:type="dxa"/>
          </w:tcPr>
          <w:p w:rsidR="00C61EFB" w:rsidRDefault="00C61EFB" w:rsidP="005A297D">
            <w:pPr>
              <w:cnfStyle w:val="100000000000" w:firstRow="1" w:lastRow="0" w:firstColumn="0" w:lastColumn="0" w:oddVBand="0" w:evenVBand="0" w:oddHBand="0" w:evenHBand="0" w:firstRowFirstColumn="0" w:firstRowLastColumn="0" w:lastRowFirstColumn="0" w:lastRowLastColumn="0"/>
            </w:pPr>
            <w:r>
              <w:t>Focus</w:t>
            </w:r>
          </w:p>
        </w:tc>
      </w:tr>
      <w:tr w:rsidR="00C61EFB" w:rsidTr="00344A24">
        <w:tc>
          <w:tcPr>
            <w:cnfStyle w:val="001000000000" w:firstRow="0" w:lastRow="0" w:firstColumn="1" w:lastColumn="0" w:oddVBand="0" w:evenVBand="0" w:oddHBand="0" w:evenHBand="0" w:firstRowFirstColumn="0" w:firstRowLastColumn="0" w:lastRowFirstColumn="0" w:lastRowLastColumn="0"/>
            <w:tcW w:w="1701" w:type="dxa"/>
          </w:tcPr>
          <w:p w:rsidR="00C61EFB" w:rsidRDefault="00C61EFB" w:rsidP="005A297D">
            <w:r>
              <w:t>Students</w:t>
            </w:r>
          </w:p>
        </w:tc>
        <w:tc>
          <w:tcPr>
            <w:tcW w:w="7325" w:type="dxa"/>
          </w:tcPr>
          <w:p w:rsidR="00C61EFB" w:rsidRDefault="00C61EFB" w:rsidP="00344A2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Experiences of anxiety and relationship with study skills</w:t>
            </w:r>
          </w:p>
          <w:p w:rsidR="00C61EFB" w:rsidRDefault="00C61EFB" w:rsidP="00344A2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Users of disability services</w:t>
            </w:r>
          </w:p>
          <w:p w:rsidR="00C61EFB" w:rsidRDefault="00344A24" w:rsidP="00344A2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International students</w:t>
            </w:r>
          </w:p>
        </w:tc>
      </w:tr>
      <w:tr w:rsidR="00C61EFB" w:rsidTr="00344A24">
        <w:tc>
          <w:tcPr>
            <w:cnfStyle w:val="001000000000" w:firstRow="0" w:lastRow="0" w:firstColumn="1" w:lastColumn="0" w:oddVBand="0" w:evenVBand="0" w:oddHBand="0" w:evenHBand="0" w:firstRowFirstColumn="0" w:firstRowLastColumn="0" w:lastRowFirstColumn="0" w:lastRowLastColumn="0"/>
            <w:tcW w:w="1701" w:type="dxa"/>
          </w:tcPr>
          <w:p w:rsidR="00C61EFB" w:rsidRDefault="00C61EFB" w:rsidP="005A297D">
            <w:r>
              <w:t>Staff</w:t>
            </w:r>
          </w:p>
        </w:tc>
        <w:tc>
          <w:tcPr>
            <w:tcW w:w="7325" w:type="dxa"/>
          </w:tcPr>
          <w:p w:rsidR="00C61EFB" w:rsidRDefault="00C61EFB" w:rsidP="00344A2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Academic staff engaged with lecture recording</w:t>
            </w:r>
          </w:p>
          <w:p w:rsidR="00C61EFB" w:rsidRDefault="00C61EFB" w:rsidP="00344A2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Academic staff not engaged with lecture recording</w:t>
            </w:r>
          </w:p>
          <w:p w:rsidR="00C61EFB" w:rsidRDefault="00C61EFB" w:rsidP="00344A24">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Student support staff and their perceptions/dealings with lecture recording</w:t>
            </w:r>
          </w:p>
        </w:tc>
      </w:tr>
    </w:tbl>
    <w:p w:rsidR="008268DB" w:rsidRDefault="008268DB">
      <w:pPr>
        <w:rPr>
          <w:b/>
        </w:rPr>
      </w:pPr>
    </w:p>
    <w:p w:rsidR="007E2F25" w:rsidRPr="008268DB" w:rsidRDefault="007E2F25">
      <w:pPr>
        <w:rPr>
          <w:b/>
          <w:u w:val="single"/>
        </w:rPr>
      </w:pPr>
      <w:r w:rsidRPr="008268DB">
        <w:rPr>
          <w:b/>
          <w:u w:val="single"/>
        </w:rPr>
        <w:t>References</w:t>
      </w:r>
    </w:p>
    <w:p w:rsidR="007E2F25" w:rsidRPr="007E2F25" w:rsidRDefault="007E2F25" w:rsidP="007E2F25">
      <w:pPr>
        <w:widowControl w:val="0"/>
        <w:autoSpaceDE w:val="0"/>
        <w:autoSpaceDN w:val="0"/>
        <w:adjustRightInd w:val="0"/>
        <w:spacing w:line="240" w:lineRule="auto"/>
        <w:rPr>
          <w:rFonts w:ascii="Calibri" w:hAnsi="Calibri" w:cs="Times New Roman"/>
          <w:noProof/>
          <w:szCs w:val="24"/>
        </w:rPr>
      </w:pPr>
      <w:r>
        <w:fldChar w:fldCharType="begin" w:fldLock="1"/>
      </w:r>
      <w:r>
        <w:instrText xml:space="preserve">ADDIN Mendeley Bibliography CSL_BIBLIOGRAPHY </w:instrText>
      </w:r>
      <w:r>
        <w:fldChar w:fldCharType="separate"/>
      </w:r>
      <w:r w:rsidRPr="007E2F25">
        <w:rPr>
          <w:rFonts w:ascii="Calibri" w:hAnsi="Calibri" w:cs="Times New Roman"/>
          <w:noProof/>
          <w:szCs w:val="24"/>
        </w:rPr>
        <w:t>1. Dhar V, Sundararajan A. Information technologies in business: A blueprint for education and research. Inf Syst Res 2007;18:125–141.</w:t>
      </w:r>
    </w:p>
    <w:p w:rsidR="007E2F25" w:rsidRPr="007E2F25" w:rsidRDefault="007E2F25" w:rsidP="007E2F25">
      <w:pPr>
        <w:widowControl w:val="0"/>
        <w:autoSpaceDE w:val="0"/>
        <w:autoSpaceDN w:val="0"/>
        <w:adjustRightInd w:val="0"/>
        <w:spacing w:line="240" w:lineRule="auto"/>
        <w:rPr>
          <w:rFonts w:ascii="Calibri" w:hAnsi="Calibri"/>
          <w:noProof/>
        </w:rPr>
      </w:pPr>
      <w:r w:rsidRPr="007E2F25">
        <w:rPr>
          <w:rFonts w:ascii="Calibri" w:hAnsi="Calibri" w:cs="Times New Roman"/>
          <w:noProof/>
          <w:szCs w:val="24"/>
        </w:rPr>
        <w:t>2. Tierney WG, Lanford M. Cultivating strategic innovation in higher education. New York; 2016.</w:t>
      </w:r>
    </w:p>
    <w:p w:rsidR="007E2F25" w:rsidRDefault="007E2F25">
      <w:r>
        <w:fldChar w:fldCharType="end"/>
      </w:r>
    </w:p>
    <w:sectPr w:rsidR="007E2F25">
      <w:footerReference w:type="default" r:id="rId11"/>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610" w:rsidRDefault="00055610" w:rsidP="009F5B23">
      <w:pPr>
        <w:spacing w:after="0" w:line="240" w:lineRule="auto"/>
      </w:pPr>
      <w:r>
        <w:separator/>
      </w:r>
    </w:p>
  </w:endnote>
  <w:endnote w:type="continuationSeparator" w:id="0">
    <w:p w:rsidR="00055610" w:rsidRDefault="00055610" w:rsidP="009F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B23" w:rsidRPr="00950832" w:rsidRDefault="009F5B23" w:rsidP="009F5B23">
    <w:pPr>
      <w:rPr>
        <w:rFonts w:cstheme="minorHAnsi"/>
        <w:sz w:val="20"/>
        <w:szCs w:val="20"/>
      </w:rPr>
    </w:pPr>
    <w:r w:rsidRPr="00950832">
      <w:rPr>
        <w:rFonts w:cstheme="minorHAnsi"/>
        <w:noProof/>
        <w:color w:val="049CCF"/>
        <w:sz w:val="20"/>
        <w:szCs w:val="20"/>
        <w:shd w:val="clear" w:color="auto" w:fill="FFFFFF"/>
        <w:lang w:eastAsia="en-GB"/>
      </w:rPr>
      <w:drawing>
        <wp:inline distT="0" distB="0" distL="0" distR="0" wp14:anchorId="4DBB722F" wp14:editId="2B185F19">
          <wp:extent cx="838200" cy="295275"/>
          <wp:effectExtent l="0" t="0" r="0" b="9525"/>
          <wp:docPr id="2" name="Picture 2" descr="Creative Commons Lic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950832">
      <w:rPr>
        <w:rFonts w:cstheme="minorHAnsi"/>
        <w:sz w:val="20"/>
        <w:szCs w:val="20"/>
      </w:rPr>
      <w:br/>
    </w:r>
    <w:r>
      <w:rPr>
        <w:rFonts w:cstheme="minorHAnsi"/>
        <w:sz w:val="20"/>
        <w:szCs w:val="20"/>
        <w:shd w:val="clear" w:color="auto" w:fill="FFFFFF"/>
      </w:rPr>
      <w:t>Evaluation Procedures</w:t>
    </w:r>
    <w:r w:rsidRPr="00950832">
      <w:rPr>
        <w:rFonts w:cstheme="minorHAnsi"/>
        <w:sz w:val="20"/>
        <w:szCs w:val="20"/>
        <w:shd w:val="clear" w:color="auto" w:fill="FFFFFF"/>
      </w:rPr>
      <w:t> by The University of Edinburgh is licensed under a </w:t>
    </w:r>
    <w:hyperlink r:id="rId3" w:history="1">
      <w:r w:rsidRPr="00950832">
        <w:rPr>
          <w:rStyle w:val="Hyperlink"/>
          <w:rFonts w:cstheme="minorHAnsi"/>
          <w:color w:val="049CCF"/>
          <w:sz w:val="20"/>
          <w:szCs w:val="20"/>
          <w:shd w:val="clear" w:color="auto" w:fill="FFFFFF"/>
        </w:rPr>
        <w:t>Creative Commons Attribution 4.0 International License</w:t>
      </w:r>
    </w:hyperlink>
    <w:r w:rsidRPr="00950832">
      <w:rPr>
        <w:rFonts w:cstheme="minorHAnsi"/>
        <w:sz w:val="20"/>
        <w:szCs w:val="20"/>
        <w:shd w:val="clear" w:color="auto" w:fill="FFFFFF"/>
      </w:rPr>
      <w:t>.</w:t>
    </w:r>
  </w:p>
  <w:p w:rsidR="009F5B23" w:rsidRDefault="009F5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610" w:rsidRDefault="00055610" w:rsidP="009F5B23">
      <w:pPr>
        <w:spacing w:after="0" w:line="240" w:lineRule="auto"/>
      </w:pPr>
      <w:r>
        <w:separator/>
      </w:r>
    </w:p>
  </w:footnote>
  <w:footnote w:type="continuationSeparator" w:id="0">
    <w:p w:rsidR="00055610" w:rsidRDefault="00055610" w:rsidP="009F5B23">
      <w:pPr>
        <w:spacing w:after="0" w:line="240" w:lineRule="auto"/>
      </w:pPr>
      <w:r>
        <w:continuationSeparator/>
      </w:r>
    </w:p>
  </w:footnote>
  <w:footnote w:id="1">
    <w:p w:rsidR="00ED244E" w:rsidRDefault="00ED244E">
      <w:pPr>
        <w:pStyle w:val="FootnoteText"/>
      </w:pPr>
      <w:r>
        <w:rPr>
          <w:rStyle w:val="FootnoteReference"/>
        </w:rPr>
        <w:footnoteRef/>
      </w:r>
      <w:r>
        <w:t xml:space="preserve"> </w:t>
      </w:r>
      <w:hyperlink r:id="rId1" w:history="1">
        <w:r>
          <w:rPr>
            <w:rStyle w:val="Hyperlink"/>
          </w:rPr>
          <w:t>https://www.ed.ac.uk/information-services/learning-technology/media-hopper-replay/about-media-hopper-replay/evaluation-and-research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9CE"/>
    <w:multiLevelType w:val="hybridMultilevel"/>
    <w:tmpl w:val="4A54E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40C2"/>
    <w:multiLevelType w:val="hybridMultilevel"/>
    <w:tmpl w:val="34A8A3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4018F"/>
    <w:multiLevelType w:val="hybridMultilevel"/>
    <w:tmpl w:val="FCEC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7584F"/>
    <w:multiLevelType w:val="hybridMultilevel"/>
    <w:tmpl w:val="11F4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54D7E"/>
    <w:multiLevelType w:val="hybridMultilevel"/>
    <w:tmpl w:val="2A881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92038"/>
    <w:multiLevelType w:val="hybridMultilevel"/>
    <w:tmpl w:val="840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B4C6D"/>
    <w:multiLevelType w:val="hybridMultilevel"/>
    <w:tmpl w:val="78E09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7D75A2"/>
    <w:multiLevelType w:val="hybridMultilevel"/>
    <w:tmpl w:val="1C44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C2E34"/>
    <w:multiLevelType w:val="hybridMultilevel"/>
    <w:tmpl w:val="740C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C7BCE"/>
    <w:multiLevelType w:val="hybridMultilevel"/>
    <w:tmpl w:val="D6528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F36CC7"/>
    <w:multiLevelType w:val="hybridMultilevel"/>
    <w:tmpl w:val="B30ECE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9B1303"/>
    <w:multiLevelType w:val="hybridMultilevel"/>
    <w:tmpl w:val="3376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2"/>
  </w:num>
  <w:num w:numId="5">
    <w:abstractNumId w:val="1"/>
  </w:num>
  <w:num w:numId="6">
    <w:abstractNumId w:val="4"/>
  </w:num>
  <w:num w:numId="7">
    <w:abstractNumId w:val="7"/>
  </w:num>
  <w:num w:numId="8">
    <w:abstractNumId w:val="5"/>
  </w:num>
  <w:num w:numId="9">
    <w:abstractNumId w:val="3"/>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1"/>
    <w:rsid w:val="00055610"/>
    <w:rsid w:val="00084CD2"/>
    <w:rsid w:val="000F7156"/>
    <w:rsid w:val="001B2E1E"/>
    <w:rsid w:val="00240130"/>
    <w:rsid w:val="00264D11"/>
    <w:rsid w:val="0026627C"/>
    <w:rsid w:val="002B3E5A"/>
    <w:rsid w:val="002F48C3"/>
    <w:rsid w:val="00310118"/>
    <w:rsid w:val="003413AA"/>
    <w:rsid w:val="00344A24"/>
    <w:rsid w:val="003C40B3"/>
    <w:rsid w:val="004C31A9"/>
    <w:rsid w:val="00532F34"/>
    <w:rsid w:val="006B75ED"/>
    <w:rsid w:val="006E2265"/>
    <w:rsid w:val="007C7853"/>
    <w:rsid w:val="007E2F25"/>
    <w:rsid w:val="00814CC1"/>
    <w:rsid w:val="008268DB"/>
    <w:rsid w:val="00830731"/>
    <w:rsid w:val="008549E5"/>
    <w:rsid w:val="008A2A6E"/>
    <w:rsid w:val="0090282A"/>
    <w:rsid w:val="00942F35"/>
    <w:rsid w:val="00974582"/>
    <w:rsid w:val="009F5B23"/>
    <w:rsid w:val="00A37A95"/>
    <w:rsid w:val="00A4578E"/>
    <w:rsid w:val="00AF5D4B"/>
    <w:rsid w:val="00B62316"/>
    <w:rsid w:val="00C15B40"/>
    <w:rsid w:val="00C61EFB"/>
    <w:rsid w:val="00CB5037"/>
    <w:rsid w:val="00ED244E"/>
    <w:rsid w:val="00F12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0010F-79CF-42F3-B36E-5F45E6E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24013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B2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549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0F7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AA1"/>
    <w:pPr>
      <w:ind w:left="720"/>
      <w:contextualSpacing/>
    </w:pPr>
  </w:style>
  <w:style w:type="table" w:styleId="GridTable1Light">
    <w:name w:val="Grid Table 1 Light"/>
    <w:basedOn w:val="TableNormal"/>
    <w:uiPriority w:val="46"/>
    <w:rsid w:val="009745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9745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58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F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B23"/>
  </w:style>
  <w:style w:type="paragraph" w:styleId="Footer">
    <w:name w:val="footer"/>
    <w:basedOn w:val="Normal"/>
    <w:link w:val="FooterChar"/>
    <w:uiPriority w:val="99"/>
    <w:unhideWhenUsed/>
    <w:rsid w:val="009F5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B23"/>
  </w:style>
  <w:style w:type="character" w:styleId="Hyperlink">
    <w:name w:val="Hyperlink"/>
    <w:basedOn w:val="DefaultParagraphFont"/>
    <w:uiPriority w:val="99"/>
    <w:semiHidden/>
    <w:unhideWhenUsed/>
    <w:rsid w:val="009F5B23"/>
    <w:rPr>
      <w:color w:val="0000FF"/>
      <w:u w:val="single"/>
    </w:rPr>
  </w:style>
  <w:style w:type="paragraph" w:styleId="FootnoteText">
    <w:name w:val="footnote text"/>
    <w:basedOn w:val="Normal"/>
    <w:link w:val="FootnoteTextChar"/>
    <w:uiPriority w:val="99"/>
    <w:semiHidden/>
    <w:unhideWhenUsed/>
    <w:rsid w:val="00ED2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44E"/>
    <w:rPr>
      <w:sz w:val="20"/>
      <w:szCs w:val="20"/>
    </w:rPr>
  </w:style>
  <w:style w:type="character" w:styleId="FootnoteReference">
    <w:name w:val="footnote reference"/>
    <w:basedOn w:val="DefaultParagraphFont"/>
    <w:uiPriority w:val="99"/>
    <w:semiHidden/>
    <w:unhideWhenUsed/>
    <w:rsid w:val="00ED244E"/>
    <w:rPr>
      <w:vertAlign w:val="superscript"/>
    </w:rPr>
  </w:style>
  <w:style w:type="paragraph" w:styleId="BalloonText">
    <w:name w:val="Balloon Text"/>
    <w:basedOn w:val="Normal"/>
    <w:link w:val="BalloonTextChar"/>
    <w:uiPriority w:val="99"/>
    <w:semiHidden/>
    <w:unhideWhenUsed/>
    <w:rsid w:val="007C7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ac.uk/information-services/learning-technology/media-hopper-replay/about-media-hopper-replay/evaluation-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EBAE72CA8AF4B949A6E65B23B791E" ma:contentTypeVersion="10" ma:contentTypeDescription="Create a new document." ma:contentTypeScope="" ma:versionID="367997199eac7fb6d84c6b7794b7a747">
  <xsd:schema xmlns:xsd="http://www.w3.org/2001/XMLSchema" xmlns:xs="http://www.w3.org/2001/XMLSchema" xmlns:p="http://schemas.microsoft.com/office/2006/metadata/properties" xmlns:ns2="c588baf4-6400-40de-9abf-7aeb1a842dc2" xmlns:ns3="58b357d8-2c77-4987-8ced-055a45f54fe6" targetNamespace="http://schemas.microsoft.com/office/2006/metadata/properties" ma:root="true" ma:fieldsID="f04f684bc29d744272f3eb3ff0071deb" ns2:_="" ns3:_="">
    <xsd:import namespace="c588baf4-6400-40de-9abf-7aeb1a842dc2"/>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baf4-6400-40de-9abf-7aeb1a8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A23D-84A1-4C86-BE84-1884185F8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0088A-FA5E-46AE-9F22-CE77DEC669A4}">
  <ds:schemaRefs>
    <ds:schemaRef ds:uri="http://schemas.microsoft.com/sharepoint/v3/contenttype/forms"/>
  </ds:schemaRefs>
</ds:datastoreItem>
</file>

<file path=customXml/itemProps3.xml><?xml version="1.0" encoding="utf-8"?>
<ds:datastoreItem xmlns:ds="http://schemas.openxmlformats.org/officeDocument/2006/customXml" ds:itemID="{9B380A2D-5917-4815-BE81-E7ED2B8C7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baf4-6400-40de-9abf-7aeb1a842dc2"/>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8F7F5-334A-44A4-BF8B-06F91850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Edinburgh</dc:creator>
  <cp:keywords>QAA Scotland</cp:keywords>
  <dc:description/>
  <cp:lastModifiedBy>Oonagh Holland</cp:lastModifiedBy>
  <cp:revision>2</cp:revision>
  <dcterms:created xsi:type="dcterms:W3CDTF">2019-12-18T12:51:00Z</dcterms:created>
  <dcterms:modified xsi:type="dcterms:W3CDTF">2019-12-18T12:51:00Z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http://www.zotero.org/styles/american-veterinary-medical-association</vt:lpwstr>
  </property>
  <property fmtid="{D5CDD505-2E9C-101B-9397-08002B2CF9AE}" pid="3" name="Mendeley Recent Style Name 0_1">
    <vt:lpwstr>American Veterinary Medical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Harvard - Cite Them Right 9th edition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http://www.zotero.org/styles/journal-of-research-in-science-teaching</vt:lpwstr>
  </property>
  <property fmtid="{D5CDD505-2E9C-101B-9397-08002B2CF9AE}" pid="11" name="Mendeley Recent Style Name 4_1">
    <vt:lpwstr>Journal of Research in Science Teaching</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http://www.zotero.org/styles/veterinary-record</vt:lpwstr>
  </property>
  <property fmtid="{D5CDD505-2E9C-101B-9397-08002B2CF9AE}" pid="19" name="Mendeley Recent Style Name 8_1">
    <vt:lpwstr>Veterinary Record</vt:lpwstr>
  </property>
  <property fmtid="{D5CDD505-2E9C-101B-9397-08002B2CF9AE}" pid="20" name="Mendeley Recent Style Id 9_1">
    <vt:lpwstr>http://www.zotero.org/styles/veterinary-record-case-reports</vt:lpwstr>
  </property>
  <property fmtid="{D5CDD505-2E9C-101B-9397-08002B2CF9AE}" pid="21" name="Mendeley Recent Style Name 9_1">
    <vt:lpwstr>Veterinary Record Case Reports</vt:lpwstr>
  </property>
  <property fmtid="{D5CDD505-2E9C-101B-9397-08002B2CF9AE}" pid="22" name="Mendeley Document_1">
    <vt:lpwstr>True</vt:lpwstr>
  </property>
  <property fmtid="{D5CDD505-2E9C-101B-9397-08002B2CF9AE}" pid="23" name="Mendeley Unique User Id_1">
    <vt:lpwstr>84d1ddde-1d7a-3eee-a06d-4421c85ae4c8</vt:lpwstr>
  </property>
  <property fmtid="{D5CDD505-2E9C-101B-9397-08002B2CF9AE}" pid="24" name="Mendeley Citation Style_1">
    <vt:lpwstr>http://www.zotero.org/styles/american-veterinary-medical-association</vt:lpwstr>
  </property>
  <property fmtid="{D5CDD505-2E9C-101B-9397-08002B2CF9AE}" pid="25" name="ContentTypeId">
    <vt:lpwstr>0x010100654EBAE72CA8AF4B949A6E65B23B791E</vt:lpwstr>
  </property>
</Properties>
</file>