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44FDF" w14:textId="554DD532" w:rsidR="00ED13A8" w:rsidRDefault="008B1BF5" w:rsidP="00887FF3">
      <w:pPr>
        <w:spacing w:after="0"/>
        <w:jc w:val="right"/>
      </w:pPr>
      <w:r>
        <w:rPr>
          <w:noProof/>
          <w:lang w:eastAsia="en-GB"/>
        </w:rPr>
        <w:drawing>
          <wp:anchor distT="0" distB="0" distL="114300" distR="114300" simplePos="0" relativeHeight="251661312" behindDoc="1" locked="0" layoutInCell="1" allowOverlap="0" wp14:anchorId="1B7B41B1" wp14:editId="06A210D2">
            <wp:simplePos x="0" y="0"/>
            <wp:positionH relativeFrom="margin">
              <wp:posOffset>-442401</wp:posOffset>
            </wp:positionH>
            <wp:positionV relativeFrom="page">
              <wp:posOffset>413026</wp:posOffset>
            </wp:positionV>
            <wp:extent cx="6840000" cy="2336400"/>
            <wp:effectExtent l="0" t="0" r="0" b="6985"/>
            <wp:wrapThrough wrapText="bothSides">
              <wp:wrapPolygon edited="0">
                <wp:start x="9445" y="0"/>
                <wp:lineTo x="0" y="881"/>
                <wp:lineTo x="0" y="5812"/>
                <wp:lineTo x="13236" y="8454"/>
                <wp:lineTo x="13236" y="9335"/>
                <wp:lineTo x="17507" y="11273"/>
                <wp:lineTo x="4813" y="11625"/>
                <wp:lineTo x="3128" y="11801"/>
                <wp:lineTo x="3128" y="17437"/>
                <wp:lineTo x="16845" y="19727"/>
                <wp:lineTo x="19432" y="19727"/>
                <wp:lineTo x="20395" y="21488"/>
                <wp:lineTo x="20876" y="21488"/>
                <wp:lineTo x="21538" y="20079"/>
                <wp:lineTo x="21538" y="19727"/>
                <wp:lineTo x="20756" y="16909"/>
                <wp:lineTo x="21538" y="16909"/>
                <wp:lineTo x="21538" y="7574"/>
                <wp:lineTo x="20996" y="5636"/>
                <wp:lineTo x="21538" y="4756"/>
                <wp:lineTo x="21538" y="4403"/>
                <wp:lineTo x="20876" y="2818"/>
                <wp:lineTo x="21538" y="1585"/>
                <wp:lineTo x="21538" y="1233"/>
                <wp:lineTo x="20816" y="0"/>
                <wp:lineTo x="9445"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eps"/>
                    <pic:cNvPicPr/>
                  </pic:nvPicPr>
                  <pic:blipFill>
                    <a:blip r:embed="rId12">
                      <a:extLst>
                        <a:ext uri="{28A0092B-C50C-407E-A947-70E740481C1C}">
                          <a14:useLocalDpi xmlns:a14="http://schemas.microsoft.com/office/drawing/2010/main" val="0"/>
                        </a:ext>
                      </a:extLst>
                    </a:blip>
                    <a:stretch>
                      <a:fillRect/>
                    </a:stretch>
                  </pic:blipFill>
                  <pic:spPr>
                    <a:xfrm>
                      <a:off x="0" y="0"/>
                      <a:ext cx="6840000" cy="2336400"/>
                    </a:xfrm>
                    <a:prstGeom prst="rect">
                      <a:avLst/>
                    </a:prstGeom>
                  </pic:spPr>
                </pic:pic>
              </a:graphicData>
            </a:graphic>
            <wp14:sizeRelH relativeFrom="margin">
              <wp14:pctWidth>0</wp14:pctWidth>
            </wp14:sizeRelH>
            <wp14:sizeRelV relativeFrom="margin">
              <wp14:pctHeight>0</wp14:pctHeight>
            </wp14:sizeRelV>
          </wp:anchor>
        </w:drawing>
      </w:r>
    </w:p>
    <w:p w14:paraId="0CB44FE0" w14:textId="7EBDE02B" w:rsidR="004111AD" w:rsidRDefault="004111AD" w:rsidP="00887FF3">
      <w:pPr>
        <w:spacing w:after="0"/>
      </w:pPr>
    </w:p>
    <w:p w14:paraId="0CB44FE1" w14:textId="73EA9594" w:rsidR="00887FF3" w:rsidRDefault="00887FF3" w:rsidP="00887FF3">
      <w:pPr>
        <w:spacing w:after="0"/>
      </w:pPr>
    </w:p>
    <w:p w14:paraId="0CB44FE2" w14:textId="5B31ECBC" w:rsidR="00876C27" w:rsidRDefault="00876C27" w:rsidP="00887FF3">
      <w:pPr>
        <w:spacing w:after="0"/>
      </w:pPr>
    </w:p>
    <w:p w14:paraId="4ADDA84E" w14:textId="77777777" w:rsidR="00401006" w:rsidRDefault="00401006" w:rsidP="00887FF3">
      <w:pPr>
        <w:spacing w:after="0"/>
      </w:pPr>
    </w:p>
    <w:p w14:paraId="0CB44FE3" w14:textId="77777777" w:rsidR="00876C27" w:rsidRDefault="00876C27" w:rsidP="00887FF3">
      <w:pPr>
        <w:spacing w:after="0"/>
      </w:pPr>
    </w:p>
    <w:p w14:paraId="0CB44FE4" w14:textId="77777777" w:rsidR="00876C27" w:rsidRDefault="00876C27" w:rsidP="00887FF3">
      <w:pPr>
        <w:spacing w:after="0"/>
      </w:pPr>
    </w:p>
    <w:p w14:paraId="0CB44FE5" w14:textId="77777777" w:rsidR="00876C27" w:rsidRDefault="00876C27" w:rsidP="00887FF3">
      <w:pPr>
        <w:spacing w:after="0"/>
      </w:pPr>
    </w:p>
    <w:p w14:paraId="47DD1F60" w14:textId="77777777" w:rsidR="008B1BF5" w:rsidRDefault="008B1BF5" w:rsidP="002B2B8B">
      <w:pPr>
        <w:pStyle w:val="Title"/>
      </w:pPr>
    </w:p>
    <w:p w14:paraId="0CB44FE6" w14:textId="4B77A40B" w:rsidR="00876C27" w:rsidRPr="002B2B8B" w:rsidRDefault="00555F8D" w:rsidP="002B2B8B">
      <w:pPr>
        <w:pStyle w:val="Title"/>
      </w:pPr>
      <w:r w:rsidRPr="002B2B8B">
        <w:t>'</w:t>
      </w:r>
      <w:r w:rsidR="0009461A" w:rsidRPr="002B2B8B">
        <w:t xml:space="preserve">Optimizing the use of Existing </w:t>
      </w:r>
      <w:r w:rsidR="007E02AD">
        <w:t>Evidence’</w:t>
      </w:r>
    </w:p>
    <w:p w14:paraId="0CB44FE7" w14:textId="77777777" w:rsidR="0009461A" w:rsidRDefault="0009461A" w:rsidP="00887FF3">
      <w:pPr>
        <w:spacing w:after="0"/>
        <w:rPr>
          <w:sz w:val="32"/>
          <w:szCs w:val="32"/>
        </w:rPr>
      </w:pPr>
    </w:p>
    <w:p w14:paraId="0CB44FE8" w14:textId="1ABA1804" w:rsidR="002B2B8B" w:rsidRDefault="00AE5FB0" w:rsidP="008414AB">
      <w:pPr>
        <w:pStyle w:val="Papertitle"/>
      </w:pPr>
      <w:bookmarkStart w:id="0" w:name="_GoBack"/>
      <w:r>
        <w:t xml:space="preserve">Using statistical significance to interpret National Student </w:t>
      </w:r>
      <w:r w:rsidR="00F52008">
        <w:t>Survey r</w:t>
      </w:r>
      <w:r>
        <w:t>esults</w:t>
      </w:r>
    </w:p>
    <w:bookmarkEnd w:id="0"/>
    <w:p w14:paraId="3207AB96" w14:textId="77777777" w:rsidR="003C034C" w:rsidRDefault="003C034C" w:rsidP="00F52008">
      <w:pPr>
        <w:pStyle w:val="Heading4"/>
        <w:jc w:val="center"/>
      </w:pPr>
    </w:p>
    <w:p w14:paraId="6B4E6731" w14:textId="09E9F89C" w:rsidR="003C034C" w:rsidRPr="003C034C" w:rsidRDefault="00F52008" w:rsidP="003C034C">
      <w:pPr>
        <w:pStyle w:val="Heading3"/>
        <w:jc w:val="center"/>
      </w:pPr>
      <w:r w:rsidRPr="003C034C">
        <w:t>Dr Alex Buckley</w:t>
      </w:r>
      <w:r w:rsidR="003C034C">
        <w:t xml:space="preserve"> (University of Strathclyde)</w:t>
      </w:r>
    </w:p>
    <w:p w14:paraId="0CB44FE9" w14:textId="77777777" w:rsidR="002B2B8B" w:rsidRPr="0009461A" w:rsidRDefault="002B2B8B" w:rsidP="00887FF3">
      <w:pPr>
        <w:spacing w:after="0"/>
        <w:rPr>
          <w:sz w:val="32"/>
          <w:szCs w:val="32"/>
        </w:rPr>
      </w:pPr>
    </w:p>
    <w:p w14:paraId="67397489" w14:textId="5AF0C402" w:rsidR="00544129" w:rsidRDefault="002C4515" w:rsidP="00544129">
      <w:pPr>
        <w:pStyle w:val="Heading1"/>
      </w:pPr>
      <w:r w:rsidRPr="002C4515">
        <w:t xml:space="preserve">Why are confidence intervals </w:t>
      </w:r>
      <w:r w:rsidR="00151AC7">
        <w:t>useful</w:t>
      </w:r>
      <w:r w:rsidRPr="002C4515">
        <w:t>?</w:t>
      </w:r>
    </w:p>
    <w:p w14:paraId="5CBA8016" w14:textId="619C5E29" w:rsidR="00544129" w:rsidRDefault="002C4515" w:rsidP="00544129">
      <w:pPr>
        <w:spacing w:after="0"/>
      </w:pPr>
      <w:r w:rsidRPr="002C4515">
        <w:t>Confidence intervals represent the range around an actual NSS score in which we can be confident that the ‘true’ value falls</w:t>
      </w:r>
      <w:r w:rsidR="00151AC7">
        <w:t xml:space="preserve"> (i.e. the margin of error)</w:t>
      </w:r>
      <w:r w:rsidRPr="002C4515">
        <w:t xml:space="preserve">. They are useful because they provide a way of </w:t>
      </w:r>
      <w:proofErr w:type="gramStart"/>
      <w:r w:rsidRPr="002C4515">
        <w:t>taking into account</w:t>
      </w:r>
      <w:proofErr w:type="gramEnd"/>
      <w:r w:rsidRPr="002C4515">
        <w:t xml:space="preserve"> the inherent uncertainty in survey results. They are particularly valuable because they allow us to evaluate the statistical significance of comparisons that we make using NSS scores. A difference is statistically significant if we can be confident that it represents a genuine difference in students’ experiences rather than random variation in the data.</w:t>
      </w:r>
    </w:p>
    <w:p w14:paraId="67F089C3" w14:textId="19EAB8A6" w:rsidR="00544129" w:rsidRDefault="00544129" w:rsidP="00544129">
      <w:pPr>
        <w:spacing w:after="0"/>
      </w:pPr>
      <w:r>
        <w:t xml:space="preserve"> </w:t>
      </w:r>
    </w:p>
    <w:p w14:paraId="055AB70B" w14:textId="14779C3D" w:rsidR="002C4515" w:rsidRDefault="002C4515" w:rsidP="002C4515">
      <w:pPr>
        <w:pStyle w:val="Heading1"/>
      </w:pPr>
      <w:r w:rsidRPr="002C4515">
        <w:t>What confidence interval data is available for the NSS?</w:t>
      </w:r>
    </w:p>
    <w:p w14:paraId="4B7EE5DE" w14:textId="77777777" w:rsidR="002C4515" w:rsidRDefault="002C4515" w:rsidP="002C4515">
      <w:pPr>
        <w:spacing w:after="0"/>
      </w:pPr>
      <w:r>
        <w:t>On behalf of all four UK nations, the Office for Students makes publicly available on its website 95% confidence intervals for ‘percentage agree’ scores. Confidence intervals are available for all institutions at subject level, using both JACS and CAH subject groupings.</w:t>
      </w:r>
    </w:p>
    <w:p w14:paraId="5E455C99" w14:textId="6CEFF833" w:rsidR="002C4515" w:rsidRDefault="002C4515" w:rsidP="002C4515">
      <w:pPr>
        <w:spacing w:after="0"/>
      </w:pPr>
      <w:r>
        <w:t xml:space="preserve">The data can be found at: </w:t>
      </w:r>
      <w:hyperlink r:id="rId13" w:history="1">
        <w:r w:rsidRPr="00871DE3">
          <w:rPr>
            <w:rStyle w:val="Hyperlink"/>
          </w:rPr>
          <w:t>https://www.officeforstudents.org.uk/advice-and-guidance/student-information-and-data/national-student-survey-nss/get-the-nss-data/</w:t>
        </w:r>
      </w:hyperlink>
      <w:r>
        <w:t xml:space="preserve"> </w:t>
      </w:r>
    </w:p>
    <w:p w14:paraId="661AADB6" w14:textId="2B35D6D1" w:rsidR="002C4515" w:rsidRDefault="002C4515" w:rsidP="002C4515">
      <w:pPr>
        <w:spacing w:after="0"/>
      </w:pPr>
    </w:p>
    <w:p w14:paraId="35D8F6F4" w14:textId="77777777" w:rsidR="00226A67" w:rsidRDefault="00226A67">
      <w:pPr>
        <w:widowControl/>
        <w:spacing w:after="0"/>
        <w:rPr>
          <w:b/>
          <w:color w:val="9F1C64"/>
          <w:sz w:val="32"/>
        </w:rPr>
      </w:pPr>
      <w:r>
        <w:br w:type="page"/>
      </w:r>
    </w:p>
    <w:p w14:paraId="38520AEC" w14:textId="49F42269" w:rsidR="002C4515" w:rsidRDefault="002C4515" w:rsidP="002C4515">
      <w:pPr>
        <w:pStyle w:val="Heading1"/>
      </w:pPr>
      <w:r w:rsidRPr="002C4515">
        <w:lastRenderedPageBreak/>
        <w:t xml:space="preserve">How can confidence intervals be used to </w:t>
      </w:r>
      <w:r>
        <w:t>assess statistical significance</w:t>
      </w:r>
      <w:r w:rsidRPr="002C4515">
        <w:t>?</w:t>
      </w:r>
    </w:p>
    <w:p w14:paraId="4E5C28D9" w14:textId="77777777" w:rsidR="002C4515" w:rsidRDefault="002C4515" w:rsidP="002C4515">
      <w:r>
        <w:t>When comparing two NSS scores, the statistical significance of the difference between them can be evaluated using the level of overlap in their confidence intervals.</w:t>
      </w:r>
    </w:p>
    <w:p w14:paraId="4097DC2E" w14:textId="7CD79078" w:rsidR="002C4515" w:rsidRDefault="002C4515" w:rsidP="002C4515">
      <w:pPr>
        <w:pStyle w:val="QAAbullet"/>
      </w:pPr>
      <w:r>
        <w:t xml:space="preserve">If the 95% confidence intervals don’t overlap at all, then we can be 99% confident that the difference is statistically significant. 99% is a relatively </w:t>
      </w:r>
      <w:r w:rsidR="00151AC7">
        <w:t>strict</w:t>
      </w:r>
      <w:r>
        <w:t xml:space="preserve"> level of confidence</w:t>
      </w:r>
    </w:p>
    <w:p w14:paraId="1CE6B844" w14:textId="359BC5EF" w:rsidR="002C4515" w:rsidRDefault="002C4515" w:rsidP="002C4515">
      <w:pPr>
        <w:pStyle w:val="QAAbullet"/>
      </w:pPr>
      <w:r>
        <w:t xml:space="preserve">It </w:t>
      </w:r>
      <w:r w:rsidR="00151AC7">
        <w:t xml:space="preserve">can also be </w:t>
      </w:r>
      <w:r>
        <w:t>appropriate to use a more lenient 95% level of confidence</w:t>
      </w:r>
      <w:r w:rsidR="00E12283">
        <w:t>. We can be 95</w:t>
      </w:r>
      <w:r>
        <w:t xml:space="preserve">% confident that the difference is statistically significant if the overlap in the 95% confidence intervals is less </w:t>
      </w:r>
      <w:r w:rsidR="002C05A5">
        <w:t>than</w:t>
      </w:r>
      <w:r>
        <w:t xml:space="preserve"> half of the average of the confidence intervals.</w:t>
      </w:r>
      <w:r>
        <w:rPr>
          <w:rStyle w:val="FootnoteReference"/>
        </w:rPr>
        <w:footnoteReference w:id="1"/>
      </w:r>
    </w:p>
    <w:p w14:paraId="56274639" w14:textId="77777777" w:rsidR="00E12283" w:rsidRDefault="00374D5F" w:rsidP="00374D5F">
      <w:pPr>
        <w:pStyle w:val="QAAbullet"/>
        <w:numPr>
          <w:ilvl w:val="0"/>
          <w:numId w:val="0"/>
        </w:numPr>
      </w:pPr>
      <w:r>
        <w:rPr>
          <w:noProof/>
          <w:snapToGrid/>
          <w:lang w:eastAsia="en-GB"/>
        </w:rPr>
        <w:drawing>
          <wp:anchor distT="0" distB="0" distL="114300" distR="114300" simplePos="0" relativeHeight="251659264" behindDoc="0" locked="0" layoutInCell="1" allowOverlap="1" wp14:anchorId="2B91089F" wp14:editId="44352CEB">
            <wp:simplePos x="0" y="0"/>
            <wp:positionH relativeFrom="column">
              <wp:posOffset>2559964</wp:posOffset>
            </wp:positionH>
            <wp:positionV relativeFrom="paragraph">
              <wp:posOffset>0</wp:posOffset>
            </wp:positionV>
            <wp:extent cx="3130906" cy="1806854"/>
            <wp:effectExtent l="0" t="0" r="19050" b="22225"/>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t>These examples show the different interp</w:t>
      </w:r>
      <w:r w:rsidR="00E12283">
        <w:t>retations of error bar overlap.</w:t>
      </w:r>
    </w:p>
    <w:p w14:paraId="4D3B6CFF" w14:textId="3BBDDC83" w:rsidR="00374D5F" w:rsidRDefault="00374D5F" w:rsidP="00374D5F">
      <w:pPr>
        <w:pStyle w:val="QAAbullet"/>
        <w:numPr>
          <w:ilvl w:val="0"/>
          <w:numId w:val="0"/>
        </w:numPr>
      </w:pPr>
      <w:r>
        <w:rPr>
          <w:i/>
        </w:rPr>
        <w:t>Example 1</w:t>
      </w:r>
      <w:r>
        <w:t xml:space="preserve"> illustrates a difference that is significant at the 99% confidence level, as the error bars don’t overlap. </w:t>
      </w:r>
      <w:r>
        <w:rPr>
          <w:i/>
        </w:rPr>
        <w:t>Example 2</w:t>
      </w:r>
      <w:r>
        <w:t xml:space="preserve"> illustrates a difference that is significant at the 95% confidence level, as there is only a small amount of overlap. </w:t>
      </w:r>
      <w:r>
        <w:rPr>
          <w:i/>
        </w:rPr>
        <w:t xml:space="preserve">Example 3 </w:t>
      </w:r>
      <w:r>
        <w:t>illustrates a difference that is not significant even at the 95% level.</w:t>
      </w:r>
    </w:p>
    <w:p w14:paraId="3BDC37EE" w14:textId="77777777" w:rsidR="00374D5F" w:rsidRDefault="00374D5F" w:rsidP="00374D5F">
      <w:pPr>
        <w:pStyle w:val="QAAbullet"/>
        <w:numPr>
          <w:ilvl w:val="0"/>
          <w:numId w:val="0"/>
        </w:numPr>
        <w:ind w:left="851" w:hanging="851"/>
      </w:pPr>
    </w:p>
    <w:p w14:paraId="5A37BD3A" w14:textId="54293DF9" w:rsidR="002C4515" w:rsidRDefault="002C4515" w:rsidP="002C4515">
      <w:r>
        <w:t>Microsoft Excel allows the addition of error bars to bar charts. Using the ‘custom’ error bar option, the confidence intervals provided by the OfS can be used as error bars.</w:t>
      </w:r>
    </w:p>
    <w:p w14:paraId="27634093" w14:textId="1A599297" w:rsidR="002C4515" w:rsidRDefault="002C4515" w:rsidP="002C4515">
      <w:r>
        <w:t>It is important to bear in mind that the confidence intervals are only one way of representing the uncertainty around the NSS scores. Caution should also be exercised in the use of the binary distinction between ‘significant’ and ‘not significant’: significance testing is just one way of exploring</w:t>
      </w:r>
      <w:r w:rsidR="0088186A">
        <w:t xml:space="preserve"> the data and doesn’t replace the</w:t>
      </w:r>
      <w:r>
        <w:t xml:space="preserve"> need to manually interpret the data, for instance by visually inspecting the confidence intervals.</w:t>
      </w:r>
    </w:p>
    <w:p w14:paraId="4EEE7D90" w14:textId="77777777" w:rsidR="00226A67" w:rsidRDefault="00226A67">
      <w:pPr>
        <w:widowControl/>
        <w:spacing w:after="0"/>
        <w:rPr>
          <w:b/>
          <w:color w:val="9F1C64"/>
          <w:sz w:val="32"/>
        </w:rPr>
      </w:pPr>
      <w:r>
        <w:rPr>
          <w:b/>
          <w:color w:val="9F1C64"/>
          <w:sz w:val="32"/>
        </w:rPr>
        <w:br w:type="page"/>
      </w:r>
    </w:p>
    <w:p w14:paraId="28435F17" w14:textId="5F86BC31" w:rsidR="002C4515" w:rsidRDefault="002C4515" w:rsidP="002C4515">
      <w:pPr>
        <w:rPr>
          <w:b/>
          <w:color w:val="9F1C64"/>
          <w:sz w:val="32"/>
        </w:rPr>
      </w:pPr>
      <w:r w:rsidRPr="002C4515">
        <w:rPr>
          <w:b/>
          <w:color w:val="9F1C64"/>
          <w:sz w:val="32"/>
        </w:rPr>
        <w:lastRenderedPageBreak/>
        <w:t>Three ways of using the confidence intervals to evaluate the statistical significance of NSS comparisons</w:t>
      </w:r>
    </w:p>
    <w:p w14:paraId="5DACAC78" w14:textId="77777777" w:rsidR="002C4515" w:rsidRDefault="002C4515" w:rsidP="002C4515">
      <w:pPr>
        <w:pStyle w:val="Heading2"/>
      </w:pPr>
      <w:r>
        <w:t>Evaluating year-on-year changes</w:t>
      </w:r>
    </w:p>
    <w:p w14:paraId="44615DCC" w14:textId="6777728E" w:rsidR="002C4515" w:rsidRDefault="00F15126" w:rsidP="002C4515">
      <w:r>
        <w:rPr>
          <w:noProof/>
          <w:lang w:eastAsia="en-GB"/>
        </w:rPr>
        <w:drawing>
          <wp:anchor distT="0" distB="0" distL="114300" distR="114300" simplePos="0" relativeHeight="251658240" behindDoc="0" locked="0" layoutInCell="1" allowOverlap="1" wp14:anchorId="7E00B125" wp14:editId="470901D2">
            <wp:simplePos x="0" y="0"/>
            <wp:positionH relativeFrom="column">
              <wp:posOffset>26035</wp:posOffset>
            </wp:positionH>
            <wp:positionV relativeFrom="paragraph">
              <wp:posOffset>58420</wp:posOffset>
            </wp:positionV>
            <wp:extent cx="2470785" cy="2037080"/>
            <wp:effectExtent l="0" t="0" r="18415" b="2032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2C4515">
        <w:t xml:space="preserve">Confidence intervals can be used to assess the statistical significance of year-on-year changes in NSS results. The example below shows the year-on-year changes for one </w:t>
      </w:r>
      <w:r w:rsidR="0088186A">
        <w:t xml:space="preserve">(fine-grained) </w:t>
      </w:r>
      <w:r w:rsidR="002C4515">
        <w:t xml:space="preserve">subject at one institution. The size of the confidence intervals means that even quite large changes in raw score </w:t>
      </w:r>
      <w:r w:rsidR="0088186A">
        <w:t xml:space="preserve">can </w:t>
      </w:r>
      <w:r w:rsidR="002C4515">
        <w:t>fail to be statistically significant.</w:t>
      </w:r>
    </w:p>
    <w:p w14:paraId="00BFD70D" w14:textId="50D9E30D" w:rsidR="00226A67" w:rsidRDefault="002C4515" w:rsidP="00226A67">
      <w:pPr>
        <w:rPr>
          <w:b/>
          <w:color w:val="7F7F7F" w:themeColor="text1" w:themeTint="80"/>
          <w:sz w:val="28"/>
        </w:rPr>
      </w:pPr>
      <w:r>
        <w:t xml:space="preserve">Due to the change in the NSS questionnaire in 2017, comparisons </w:t>
      </w:r>
      <w:r w:rsidR="0088186A">
        <w:t xml:space="preserve">can </w:t>
      </w:r>
      <w:r>
        <w:t>only be made between scores pre- and post-2017 with caution.</w:t>
      </w:r>
    </w:p>
    <w:p w14:paraId="3B4C0B63" w14:textId="77777777" w:rsidR="00226A67" w:rsidRDefault="00226A67" w:rsidP="00226A67">
      <w:pPr>
        <w:rPr>
          <w:b/>
          <w:color w:val="7F7F7F" w:themeColor="text1" w:themeTint="80"/>
          <w:sz w:val="28"/>
        </w:rPr>
      </w:pPr>
    </w:p>
    <w:p w14:paraId="5A0F7378" w14:textId="77777777" w:rsidR="00A32915" w:rsidRDefault="00A32915" w:rsidP="002C4515">
      <w:pPr>
        <w:pStyle w:val="Heading2"/>
      </w:pPr>
    </w:p>
    <w:p w14:paraId="70B8EA97" w14:textId="51E85B9D" w:rsidR="002C4515" w:rsidRDefault="002C4515" w:rsidP="002C4515">
      <w:pPr>
        <w:pStyle w:val="Heading2"/>
      </w:pPr>
      <w:r>
        <w:t>Evaluating comparisons between institutions</w:t>
      </w:r>
    </w:p>
    <w:p w14:paraId="010C9AF8" w14:textId="79FDA823" w:rsidR="002C4515" w:rsidRDefault="002C4515" w:rsidP="002C4515">
      <w:r>
        <w:t xml:space="preserve">Confidence intervals can be used to </w:t>
      </w:r>
      <w:r w:rsidR="002C05A5">
        <w:t>assess</w:t>
      </w:r>
      <w:r>
        <w:t xml:space="preserve"> the statistical significance of comparisons between different institutions. The proportion of statistically significant differences can differ markedly by subject and by question. The chart below </w:t>
      </w:r>
      <w:r w:rsidR="0088186A">
        <w:t>illustrates the institutional scores, with confidence intervals, for a particular (fine-grained) subject and question, and is provided for illu</w:t>
      </w:r>
      <w:r>
        <w:t>s</w:t>
      </w:r>
      <w:r w:rsidR="0088186A">
        <w:t>tration.</w:t>
      </w:r>
      <w:r>
        <w:t xml:space="preserve"> </w:t>
      </w:r>
    </w:p>
    <w:p w14:paraId="369CBD26" w14:textId="77777777" w:rsidR="00F15126" w:rsidRDefault="00F15126">
      <w:pPr>
        <w:widowControl/>
        <w:spacing w:after="0"/>
      </w:pPr>
      <w:r>
        <w:rPr>
          <w:noProof/>
          <w:lang w:eastAsia="en-GB"/>
        </w:rPr>
        <w:drawing>
          <wp:inline distT="0" distB="0" distL="0" distR="0" wp14:anchorId="0AB9BA09" wp14:editId="2548F1B3">
            <wp:extent cx="6216650" cy="2546985"/>
            <wp:effectExtent l="0" t="0" r="6350" b="1841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7F4FDAA" w14:textId="77777777" w:rsidR="00444089" w:rsidRDefault="00444089" w:rsidP="00374D5F">
      <w:pPr>
        <w:pStyle w:val="Heading2"/>
      </w:pPr>
    </w:p>
    <w:p w14:paraId="74700FE4" w14:textId="77777777" w:rsidR="00226A67" w:rsidRDefault="00226A67">
      <w:pPr>
        <w:widowControl/>
        <w:spacing w:after="0"/>
        <w:rPr>
          <w:b/>
          <w:color w:val="7F7F7F" w:themeColor="text1" w:themeTint="80"/>
          <w:sz w:val="28"/>
        </w:rPr>
      </w:pPr>
      <w:r>
        <w:br w:type="page"/>
      </w:r>
    </w:p>
    <w:p w14:paraId="56CBE93D" w14:textId="6F5D96D3" w:rsidR="00F15126" w:rsidRPr="00A53AC4" w:rsidRDefault="00F15126" w:rsidP="00374D5F">
      <w:pPr>
        <w:pStyle w:val="Heading2"/>
      </w:pPr>
      <w:r w:rsidRPr="00A53AC4">
        <w:lastRenderedPageBreak/>
        <w:t>Evaluating comparisons with the sector average</w:t>
      </w:r>
    </w:p>
    <w:p w14:paraId="67BFB069" w14:textId="567E7195" w:rsidR="00F15126" w:rsidRDefault="00F15126" w:rsidP="00F15126">
      <w:r>
        <w:t xml:space="preserve">As comparisons between individual institutions tend to yield few statistically significant differences, it can be more helpful to compare scores against the subject-level sector average. As sector averages are produced by thousands of student responses, the confidence intervals can be treated as zero. Therefore, assessment of statistical significance does not involve evaluation of the overlap of confidence intervals, </w:t>
      </w:r>
      <w:r w:rsidR="002E27E4">
        <w:t xml:space="preserve">but </w:t>
      </w:r>
      <w:r>
        <w:t xml:space="preserve">whether the sector average lies above, below or within the confidence interval for the institutional score. Using this method for all of an institutions’ scores yields a ‘heatmap’ which can illustrate in an easily accessible format any particular subjects that might reward further study, and any questions where the institution performs well or badly. </w:t>
      </w:r>
    </w:p>
    <w:p w14:paraId="3FDF9186" w14:textId="75EA09FA" w:rsidR="00F15126" w:rsidRDefault="00F15126" w:rsidP="00F15126">
      <w:r>
        <w:t xml:space="preserve">The example below shows an institution with a representative proportion of statistically significant differences from the sector average. Green cells indicate where scores are statistically significantly higher than the average (for that subject and question). Red cells indicate where scores are statistically significantly lower </w:t>
      </w:r>
      <w:r w:rsidR="002C05A5">
        <w:t>than</w:t>
      </w:r>
      <w:r>
        <w:t xml:space="preserve"> the sector average (for that subject and question).</w:t>
      </w:r>
    </w:p>
    <w:p w14:paraId="253647A4" w14:textId="61676473" w:rsidR="00444089" w:rsidRDefault="00F15126" w:rsidP="00226A67">
      <w:r>
        <w:t xml:space="preserve">Sector averages (at subject level) are not made publicly available, they are currently only available as part of the data that institutions receive directly. </w:t>
      </w:r>
      <w:r w:rsidR="0088186A">
        <w:t>Contact y</w:t>
      </w:r>
      <w:r>
        <w:t xml:space="preserve">our institutional survey team </w:t>
      </w:r>
      <w:r w:rsidR="0088186A">
        <w:t>for access to the sector averages.</w:t>
      </w:r>
    </w:p>
    <w:p w14:paraId="2F39ACC0" w14:textId="77777777" w:rsidR="00401006" w:rsidRDefault="00F15126" w:rsidP="00F15126">
      <w:pPr>
        <w:widowControl/>
        <w:spacing w:after="0"/>
      </w:pPr>
      <w:r w:rsidRPr="00724AEF">
        <w:rPr>
          <w:noProof/>
          <w:lang w:eastAsia="en-GB"/>
        </w:rPr>
        <w:drawing>
          <wp:inline distT="0" distB="0" distL="0" distR="0" wp14:anchorId="7F3D8595" wp14:editId="3E0638CA">
            <wp:extent cx="5732890" cy="3040476"/>
            <wp:effectExtent l="0" t="0" r="127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40351" cy="3044433"/>
                    </a:xfrm>
                    <a:prstGeom prst="rect">
                      <a:avLst/>
                    </a:prstGeom>
                  </pic:spPr>
                </pic:pic>
              </a:graphicData>
            </a:graphic>
          </wp:inline>
        </w:drawing>
      </w:r>
    </w:p>
    <w:p w14:paraId="1F157016" w14:textId="77777777" w:rsidR="00401006" w:rsidRDefault="00401006" w:rsidP="00F15126">
      <w:pPr>
        <w:widowControl/>
        <w:spacing w:after="0"/>
      </w:pPr>
    </w:p>
    <w:p w14:paraId="1F18F48E" w14:textId="77777777" w:rsidR="00401006" w:rsidRDefault="00401006" w:rsidP="00F15126">
      <w:pPr>
        <w:widowControl/>
        <w:spacing w:after="0"/>
      </w:pPr>
    </w:p>
    <w:p w14:paraId="0CB45014" w14:textId="63871161" w:rsidR="0085609C" w:rsidRDefault="0085609C" w:rsidP="0085609C">
      <w:pPr>
        <w:pBdr>
          <w:top w:val="single" w:sz="4" w:space="1" w:color="auto"/>
          <w:left w:val="single" w:sz="4" w:space="4" w:color="auto"/>
          <w:bottom w:val="single" w:sz="4" w:space="1" w:color="auto"/>
          <w:right w:val="single" w:sz="4" w:space="4" w:color="auto"/>
        </w:pBdr>
        <w:rPr>
          <w:noProof/>
          <w:snapToGrid/>
          <w:lang w:eastAsia="en-GB"/>
        </w:rPr>
      </w:pPr>
      <w:r>
        <w:rPr>
          <w:noProof/>
          <w:snapToGrid/>
          <w:lang w:eastAsia="en-GB"/>
        </w:rPr>
        <w:t xml:space="preserve">This document has been produced and published by </w:t>
      </w:r>
      <w:r w:rsidR="004C6695">
        <w:rPr>
          <w:noProof/>
          <w:snapToGrid/>
          <w:lang w:eastAsia="en-GB"/>
        </w:rPr>
        <w:t>The University of Strathclyde</w:t>
      </w:r>
      <w:r>
        <w:rPr>
          <w:noProof/>
          <w:snapToGrid/>
          <w:lang w:eastAsia="en-GB"/>
        </w:rPr>
        <w:t xml:space="preserve"> based on </w:t>
      </w:r>
      <w:r w:rsidR="007E0433">
        <w:rPr>
          <w:noProof/>
          <w:snapToGrid/>
          <w:lang w:eastAsia="en-GB"/>
        </w:rPr>
        <w:t>a template</w:t>
      </w:r>
      <w:r>
        <w:rPr>
          <w:noProof/>
          <w:snapToGrid/>
          <w:lang w:eastAsia="en-GB"/>
        </w:rPr>
        <w:t xml:space="preserve"> provided by the Quality Assurance Agency for Higher Education (QAA). As such, this document may contain content that is not wholly endorsed by QAA.</w:t>
      </w:r>
    </w:p>
    <w:p w14:paraId="0CB45015" w14:textId="77777777" w:rsidR="005272B7" w:rsidRDefault="005272B7" w:rsidP="0085609C">
      <w:pPr>
        <w:pBdr>
          <w:top w:val="single" w:sz="4" w:space="1" w:color="auto"/>
          <w:left w:val="single" w:sz="4" w:space="4" w:color="auto"/>
          <w:bottom w:val="single" w:sz="4" w:space="1" w:color="auto"/>
          <w:right w:val="single" w:sz="4" w:space="4" w:color="auto"/>
        </w:pBdr>
        <w:rPr>
          <w:noProof/>
          <w:snapToGrid/>
          <w:lang w:eastAsia="en-GB"/>
        </w:rPr>
      </w:pPr>
      <w:r>
        <w:rPr>
          <w:noProof/>
          <w:snapToGrid/>
          <w:lang w:eastAsia="en-GB"/>
        </w:rPr>
        <w:drawing>
          <wp:inline distT="0" distB="0" distL="0" distR="0" wp14:anchorId="0CB45017" wp14:editId="652283B9">
            <wp:extent cx="838200" cy="295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png"/>
                    <pic:cNvPicPr/>
                  </pic:nvPicPr>
                  <pic:blipFill>
                    <a:blip r:embed="rId18">
                      <a:extLst>
                        <a:ext uri="{28A0092B-C50C-407E-A947-70E740481C1C}">
                          <a14:useLocalDpi xmlns:a14="http://schemas.microsoft.com/office/drawing/2010/main" val="0"/>
                        </a:ext>
                      </a:extLst>
                    </a:blip>
                    <a:stretch>
                      <a:fillRect/>
                    </a:stretch>
                  </pic:blipFill>
                  <pic:spPr>
                    <a:xfrm>
                      <a:off x="0" y="0"/>
                      <a:ext cx="838200" cy="295275"/>
                    </a:xfrm>
                    <a:prstGeom prst="rect">
                      <a:avLst/>
                    </a:prstGeom>
                  </pic:spPr>
                </pic:pic>
              </a:graphicData>
            </a:graphic>
          </wp:inline>
        </w:drawing>
      </w:r>
    </w:p>
    <w:p w14:paraId="0CB45016" w14:textId="77777777" w:rsidR="005272B7" w:rsidRPr="00887FF3" w:rsidRDefault="005272B7" w:rsidP="0085609C">
      <w:pPr>
        <w:pBdr>
          <w:top w:val="single" w:sz="4" w:space="1" w:color="auto"/>
          <w:left w:val="single" w:sz="4" w:space="4" w:color="auto"/>
          <w:bottom w:val="single" w:sz="4" w:space="1" w:color="auto"/>
          <w:right w:val="single" w:sz="4" w:space="4" w:color="auto"/>
        </w:pBdr>
      </w:pPr>
    </w:p>
    <w:sectPr w:rsidR="005272B7" w:rsidRPr="00887FF3" w:rsidSect="008B1BF5">
      <w:headerReference w:type="default" r:id="rId19"/>
      <w:pgSz w:w="11906" w:h="16838" w:code="9"/>
      <w:pgMar w:top="1440" w:right="1440" w:bottom="1440" w:left="1440" w:header="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FB536" w14:textId="77777777" w:rsidR="00DB3890" w:rsidRDefault="00DB3890">
      <w:r>
        <w:separator/>
      </w:r>
    </w:p>
  </w:endnote>
  <w:endnote w:type="continuationSeparator" w:id="0">
    <w:p w14:paraId="35C216BE" w14:textId="77777777" w:rsidR="00DB3890" w:rsidRDefault="00DB3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EBC68" w14:textId="77777777" w:rsidR="00DB3890" w:rsidRDefault="00DB3890">
      <w:r>
        <w:separator/>
      </w:r>
    </w:p>
  </w:footnote>
  <w:footnote w:type="continuationSeparator" w:id="0">
    <w:p w14:paraId="03CAEFA7" w14:textId="77777777" w:rsidR="00DB3890" w:rsidRDefault="00DB3890">
      <w:r>
        <w:continuationSeparator/>
      </w:r>
    </w:p>
  </w:footnote>
  <w:footnote w:id="1">
    <w:p w14:paraId="145E3B57" w14:textId="41E5D613" w:rsidR="002C4515" w:rsidRPr="00F15126" w:rsidRDefault="002C4515" w:rsidP="00F15126">
      <w:pPr>
        <w:rPr>
          <w:sz w:val="24"/>
          <w:szCs w:val="24"/>
        </w:rPr>
      </w:pPr>
      <w:r>
        <w:rPr>
          <w:rStyle w:val="FootnoteReference"/>
        </w:rPr>
        <w:footnoteRef/>
      </w:r>
      <w:r>
        <w:t xml:space="preserve"> </w:t>
      </w:r>
      <w:r w:rsidRPr="002C4515">
        <w:rPr>
          <w:sz w:val="21"/>
        </w:rPr>
        <w:t xml:space="preserve">For more information about this </w:t>
      </w:r>
      <w:r w:rsidR="00E12283">
        <w:rPr>
          <w:sz w:val="21"/>
        </w:rPr>
        <w:t xml:space="preserve">pragmatic </w:t>
      </w:r>
      <w:r w:rsidRPr="002C4515">
        <w:rPr>
          <w:sz w:val="21"/>
        </w:rPr>
        <w:t xml:space="preserve">‘rule of eye’ </w:t>
      </w:r>
      <w:r w:rsidR="00374D5F">
        <w:rPr>
          <w:sz w:val="21"/>
        </w:rPr>
        <w:t xml:space="preserve">see </w:t>
      </w:r>
      <w:r w:rsidRPr="002C4515">
        <w:rPr>
          <w:sz w:val="21"/>
        </w:rPr>
        <w:t xml:space="preserve">Cumming, G. (2009) ‘Inference by eye: Reading the overlap of independent confidence intervals’, </w:t>
      </w:r>
      <w:r w:rsidRPr="00F15126">
        <w:rPr>
          <w:i/>
          <w:sz w:val="21"/>
        </w:rPr>
        <w:t>Statistics in Medicine</w:t>
      </w:r>
      <w:r w:rsidRPr="002C4515">
        <w:rPr>
          <w:sz w:val="21"/>
        </w:rPr>
        <w:t xml:space="preserve"> 28: 205-220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45020" w14:textId="77777777" w:rsidR="00914C97" w:rsidRDefault="00914C97" w:rsidP="00ED5F1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0ACFD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8004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84EA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D089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208F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9EEB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F4DF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20F8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0EAF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F491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57E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0D4B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21E5671"/>
    <w:multiLevelType w:val="hybridMultilevel"/>
    <w:tmpl w:val="C3D082E0"/>
    <w:lvl w:ilvl="0" w:tplc="1480F560">
      <w:start w:val="1"/>
      <w:numFmt w:val="bullet"/>
      <w:pStyle w:val="07bIASumFindbullet"/>
      <w:lvlText w:val=""/>
      <w:lvlJc w:val="left"/>
      <w:pPr>
        <w:tabs>
          <w:tab w:val="num" w:pos="360"/>
        </w:tabs>
        <w:ind w:left="360" w:hanging="360"/>
      </w:pPr>
      <w:rPr>
        <w:rFonts w:ascii="Symbol" w:hAnsi="Symbol" w:hint="default"/>
        <w:color w:val="auto"/>
      </w:rPr>
    </w:lvl>
    <w:lvl w:ilvl="1" w:tplc="001C81EC">
      <w:start w:val="1"/>
      <w:numFmt w:val="bullet"/>
      <w:lvlText w:val="o"/>
      <w:lvlJc w:val="left"/>
      <w:pPr>
        <w:tabs>
          <w:tab w:val="num" w:pos="2160"/>
        </w:tabs>
        <w:ind w:left="2160" w:hanging="360"/>
      </w:pPr>
      <w:rPr>
        <w:rFonts w:ascii="Courier New" w:hAnsi="Courier New" w:hint="default"/>
      </w:rPr>
    </w:lvl>
    <w:lvl w:ilvl="2" w:tplc="9ED01ECE" w:tentative="1">
      <w:start w:val="1"/>
      <w:numFmt w:val="bullet"/>
      <w:lvlText w:val=""/>
      <w:lvlJc w:val="left"/>
      <w:pPr>
        <w:tabs>
          <w:tab w:val="num" w:pos="2880"/>
        </w:tabs>
        <w:ind w:left="2880" w:hanging="360"/>
      </w:pPr>
      <w:rPr>
        <w:rFonts w:ascii="Wingdings" w:hAnsi="Wingdings" w:hint="default"/>
      </w:rPr>
    </w:lvl>
    <w:lvl w:ilvl="3" w:tplc="3C0606BC" w:tentative="1">
      <w:start w:val="1"/>
      <w:numFmt w:val="bullet"/>
      <w:lvlText w:val=""/>
      <w:lvlJc w:val="left"/>
      <w:pPr>
        <w:tabs>
          <w:tab w:val="num" w:pos="3600"/>
        </w:tabs>
        <w:ind w:left="3600" w:hanging="360"/>
      </w:pPr>
      <w:rPr>
        <w:rFonts w:ascii="Symbol" w:hAnsi="Symbol" w:hint="default"/>
      </w:rPr>
    </w:lvl>
    <w:lvl w:ilvl="4" w:tplc="A6521600" w:tentative="1">
      <w:start w:val="1"/>
      <w:numFmt w:val="bullet"/>
      <w:lvlText w:val="o"/>
      <w:lvlJc w:val="left"/>
      <w:pPr>
        <w:tabs>
          <w:tab w:val="num" w:pos="4320"/>
        </w:tabs>
        <w:ind w:left="4320" w:hanging="360"/>
      </w:pPr>
      <w:rPr>
        <w:rFonts w:ascii="Courier New" w:hAnsi="Courier New" w:hint="default"/>
      </w:rPr>
    </w:lvl>
    <w:lvl w:ilvl="5" w:tplc="453201FC" w:tentative="1">
      <w:start w:val="1"/>
      <w:numFmt w:val="bullet"/>
      <w:lvlText w:val=""/>
      <w:lvlJc w:val="left"/>
      <w:pPr>
        <w:tabs>
          <w:tab w:val="num" w:pos="5040"/>
        </w:tabs>
        <w:ind w:left="5040" w:hanging="360"/>
      </w:pPr>
      <w:rPr>
        <w:rFonts w:ascii="Wingdings" w:hAnsi="Wingdings" w:hint="default"/>
      </w:rPr>
    </w:lvl>
    <w:lvl w:ilvl="6" w:tplc="9B3E1374" w:tentative="1">
      <w:start w:val="1"/>
      <w:numFmt w:val="bullet"/>
      <w:lvlText w:val=""/>
      <w:lvlJc w:val="left"/>
      <w:pPr>
        <w:tabs>
          <w:tab w:val="num" w:pos="5760"/>
        </w:tabs>
        <w:ind w:left="5760" w:hanging="360"/>
      </w:pPr>
      <w:rPr>
        <w:rFonts w:ascii="Symbol" w:hAnsi="Symbol" w:hint="default"/>
      </w:rPr>
    </w:lvl>
    <w:lvl w:ilvl="7" w:tplc="B6B6FF5C" w:tentative="1">
      <w:start w:val="1"/>
      <w:numFmt w:val="bullet"/>
      <w:lvlText w:val="o"/>
      <w:lvlJc w:val="left"/>
      <w:pPr>
        <w:tabs>
          <w:tab w:val="num" w:pos="6480"/>
        </w:tabs>
        <w:ind w:left="6480" w:hanging="360"/>
      </w:pPr>
      <w:rPr>
        <w:rFonts w:ascii="Courier New" w:hAnsi="Courier New" w:hint="default"/>
      </w:rPr>
    </w:lvl>
    <w:lvl w:ilvl="8" w:tplc="040481A4"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2D375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32F44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4544ABA"/>
    <w:multiLevelType w:val="hybridMultilevel"/>
    <w:tmpl w:val="7504A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4D87B80"/>
    <w:multiLevelType w:val="multilevel"/>
    <w:tmpl w:val="7DAA5EC4"/>
    <w:name w:val="QAA2222323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7" w15:restartNumberingAfterBreak="0">
    <w:nsid w:val="09855CA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AD25A02"/>
    <w:multiLevelType w:val="hybridMultilevel"/>
    <w:tmpl w:val="DB2820EA"/>
    <w:lvl w:ilvl="0" w:tplc="C4EC1102">
      <w:start w:val="1"/>
      <w:numFmt w:val="bullet"/>
      <w:pStyle w:val="Subbullet"/>
      <w:lvlText w:val="-"/>
      <w:lvlJc w:val="left"/>
      <w:pPr>
        <w:ind w:left="1211" w:hanging="360"/>
      </w:pPr>
      <w:rPr>
        <w:rFonts w:ascii="Arial" w:hAnsi="Aria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0B294F2B"/>
    <w:multiLevelType w:val="hybridMultilevel"/>
    <w:tmpl w:val="467EBA8C"/>
    <w:lvl w:ilvl="0" w:tplc="31B2D328">
      <w:start w:val="1"/>
      <w:numFmt w:val="bullet"/>
      <w:pStyle w:val="QAA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136421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8E407A6"/>
    <w:multiLevelType w:val="hybridMultilevel"/>
    <w:tmpl w:val="1DC2E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9A33B27"/>
    <w:multiLevelType w:val="multilevel"/>
    <w:tmpl w:val="6A188E7C"/>
    <w:name w:val="QAA2222323"/>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3" w15:restartNumberingAfterBreak="0">
    <w:nsid w:val="1A9A3488"/>
    <w:multiLevelType w:val="multilevel"/>
    <w:tmpl w:val="0F96446E"/>
    <w:name w:val="QAA list22"/>
    <w:numStyleLink w:val="QAAlist"/>
  </w:abstractNum>
  <w:abstractNum w:abstractNumId="24" w15:restartNumberingAfterBreak="0">
    <w:nsid w:val="1BAB1B17"/>
    <w:multiLevelType w:val="hybridMultilevel"/>
    <w:tmpl w:val="CD90B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0150D8A"/>
    <w:multiLevelType w:val="hybridMultilevel"/>
    <w:tmpl w:val="0C86B7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14166E7"/>
    <w:multiLevelType w:val="multilevel"/>
    <w:tmpl w:val="16D4337A"/>
    <w:name w:val="QAA22223232222"/>
    <w:lvl w:ilvl="0">
      <w:start w:val="1"/>
      <w:numFmt w:val="decimal"/>
      <w:pStyle w:val="Numbered"/>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7" w15:restartNumberingAfterBreak="0">
    <w:nsid w:val="282F5FE4"/>
    <w:multiLevelType w:val="multilevel"/>
    <w:tmpl w:val="FC445794"/>
    <w:name w:val="QAA22223232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8" w15:restartNumberingAfterBreak="0">
    <w:nsid w:val="2C317F2E"/>
    <w:multiLevelType w:val="multilevel"/>
    <w:tmpl w:val="C94E3684"/>
    <w:name w:val="QAA2222"/>
    <w:numStyleLink w:val="QAAmultilist"/>
  </w:abstractNum>
  <w:abstractNum w:abstractNumId="29" w15:restartNumberingAfterBreak="0">
    <w:nsid w:val="2CAB4B48"/>
    <w:multiLevelType w:val="multilevel"/>
    <w:tmpl w:val="0809001D"/>
    <w:name w:val="QAA list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0AE2FA9"/>
    <w:multiLevelType w:val="multilevel"/>
    <w:tmpl w:val="C94E3684"/>
    <w:name w:val="QAA22223"/>
    <w:numStyleLink w:val="QAAmultilist"/>
  </w:abstractNum>
  <w:abstractNum w:abstractNumId="31" w15:restartNumberingAfterBreak="0">
    <w:nsid w:val="35A23E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3A940EE7"/>
    <w:multiLevelType w:val="hybridMultilevel"/>
    <w:tmpl w:val="31B2E0B4"/>
    <w:lvl w:ilvl="0" w:tplc="D5769E8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AF21D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3EEB70AF"/>
    <w:multiLevelType w:val="multilevel"/>
    <w:tmpl w:val="C94E3684"/>
    <w:name w:val="QAA222"/>
    <w:numStyleLink w:val="QAAmultilist"/>
  </w:abstractNum>
  <w:abstractNum w:abstractNumId="35" w15:restartNumberingAfterBreak="0">
    <w:nsid w:val="409A078E"/>
    <w:multiLevelType w:val="multilevel"/>
    <w:tmpl w:val="C94E3684"/>
    <w:name w:val="QAA2"/>
    <w:styleLink w:val="QAAmultilist"/>
    <w:lvl w:ilvl="0">
      <w:start w:val="1"/>
      <w:numFmt w:val="decimal"/>
      <w:lvlText w:val="%1"/>
      <w:lvlJc w:val="left"/>
      <w:pPr>
        <w:ind w:left="851" w:hanging="851"/>
      </w:pPr>
      <w:rPr>
        <w:rFonts w:ascii="Arial" w:hAnsi="Arial" w:hint="default"/>
        <w:sz w:val="22"/>
      </w:rPr>
    </w:lvl>
    <w:lvl w:ilvl="1">
      <w:start w:val="1"/>
      <w:numFmt w:val="none"/>
      <w:lvlText w:val="%1.1"/>
      <w:lvlJc w:val="left"/>
      <w:pPr>
        <w:ind w:left="851" w:hanging="851"/>
      </w:pPr>
      <w:rPr>
        <w:rFonts w:ascii="Arial" w:hAnsi="Arial" w:hint="default"/>
        <w:sz w:val="22"/>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6" w15:restartNumberingAfterBreak="0">
    <w:nsid w:val="43BA0B49"/>
    <w:multiLevelType w:val="multilevel"/>
    <w:tmpl w:val="0F96446E"/>
    <w:name w:val="QAA list"/>
    <w:styleLink w:val="QAAlist"/>
    <w:lvl w:ilvl="0">
      <w:start w:val="1"/>
      <w:numFmt w:val="decimal"/>
      <w:pStyle w:val="HKJHJKHJKHk"/>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4511E05"/>
    <w:multiLevelType w:val="multilevel"/>
    <w:tmpl w:val="0809001D"/>
    <w:styleLink w:val="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5102CB8"/>
    <w:multiLevelType w:val="hybridMultilevel"/>
    <w:tmpl w:val="871A7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743260F"/>
    <w:multiLevelType w:val="multilevel"/>
    <w:tmpl w:val="C94E3684"/>
    <w:name w:val="QAA list22222"/>
    <w:numStyleLink w:val="QAAmultilist"/>
  </w:abstractNum>
  <w:abstractNum w:abstractNumId="40" w15:restartNumberingAfterBreak="0">
    <w:nsid w:val="50AE722D"/>
    <w:multiLevelType w:val="multilevel"/>
    <w:tmpl w:val="53DED9C6"/>
    <w:lvl w:ilvl="0">
      <w:start w:val="1"/>
      <w:numFmt w:val="lowerRoman"/>
      <w:lvlText w:val="%1."/>
      <w:lvlJc w:val="left"/>
      <w:pPr>
        <w:ind w:left="360" w:hanging="360"/>
      </w:pPr>
      <w:rPr>
        <w:rFonts w:hint="default"/>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4D53FDB"/>
    <w:multiLevelType w:val="multilevel"/>
    <w:tmpl w:val="C94E3684"/>
    <w:name w:val="QAA22222"/>
    <w:numStyleLink w:val="QAAmultilist"/>
  </w:abstractNum>
  <w:abstractNum w:abstractNumId="42" w15:restartNumberingAfterBreak="0">
    <w:nsid w:val="56A52D0E"/>
    <w:multiLevelType w:val="multilevel"/>
    <w:tmpl w:val="D188E43C"/>
    <w:name w:val="QAA2222323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43" w15:restartNumberingAfterBreak="0">
    <w:nsid w:val="56D73B4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CFE46F6"/>
    <w:multiLevelType w:val="multilevel"/>
    <w:tmpl w:val="0809001D"/>
    <w:name w:val="QAA list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5ECE49EE"/>
    <w:multiLevelType w:val="multilevel"/>
    <w:tmpl w:val="0809001D"/>
    <w:numStyleLink w:val="LIST2"/>
  </w:abstractNum>
  <w:abstractNum w:abstractNumId="46" w15:restartNumberingAfterBreak="0">
    <w:nsid w:val="61F83FC5"/>
    <w:multiLevelType w:val="multilevel"/>
    <w:tmpl w:val="5BF097E4"/>
    <w:lvl w:ilvl="0">
      <w:start w:val="1"/>
      <w:numFmt w:val="decimal"/>
      <w:pStyle w:val="Numberedheading"/>
      <w:lvlText w:val="%1"/>
      <w:lvlJc w:val="left"/>
      <w:pPr>
        <w:ind w:left="851" w:hanging="851"/>
      </w:pPr>
      <w:rPr>
        <w:rFonts w:ascii="Arial" w:hAnsi="Arial" w:hint="default"/>
        <w:b/>
        <w:sz w:val="28"/>
      </w:rPr>
    </w:lvl>
    <w:lvl w:ilvl="1">
      <w:start w:val="1"/>
      <w:numFmt w:val="decimal"/>
      <w:pStyle w:val="Numbered2"/>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7" w15:restartNumberingAfterBreak="0">
    <w:nsid w:val="687A54C0"/>
    <w:multiLevelType w:val="multilevel"/>
    <w:tmpl w:val="BD68C1E2"/>
    <w:styleLink w:val="QAAmulti-levellist"/>
    <w:lvl w:ilvl="0">
      <w:start w:val="1"/>
      <w:numFmt w:val="decimal"/>
      <w:lvlText w:val="%1"/>
      <w:lvlJc w:val="left"/>
      <w:pPr>
        <w:ind w:left="851" w:hanging="851"/>
      </w:pPr>
      <w:rPr>
        <w:rFonts w:ascii="Arial" w:hAnsi="Arial" w:hint="default"/>
        <w:b/>
        <w:sz w:val="28"/>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8" w15:restartNumberingAfterBreak="0">
    <w:nsid w:val="689D2C51"/>
    <w:multiLevelType w:val="multilevel"/>
    <w:tmpl w:val="C94E3684"/>
    <w:name w:val="QAA22"/>
    <w:numStyleLink w:val="QAAmultilist"/>
  </w:abstractNum>
  <w:abstractNum w:abstractNumId="49" w15:restartNumberingAfterBreak="0">
    <w:nsid w:val="68F72176"/>
    <w:multiLevelType w:val="multilevel"/>
    <w:tmpl w:val="16D4337A"/>
    <w:name w:val="QAA22223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50" w15:restartNumberingAfterBreak="0">
    <w:nsid w:val="698F7383"/>
    <w:multiLevelType w:val="multilevel"/>
    <w:tmpl w:val="E26E30F6"/>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0937C25"/>
    <w:multiLevelType w:val="multilevel"/>
    <w:tmpl w:val="00E0E72A"/>
    <w:name w:val="QAA22223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52" w15:restartNumberingAfterBreak="0">
    <w:nsid w:val="79546FCD"/>
    <w:multiLevelType w:val="hybridMultilevel"/>
    <w:tmpl w:val="A56A62FC"/>
    <w:lvl w:ilvl="0" w:tplc="51220C26">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53" w15:restartNumberingAfterBreak="0">
    <w:nsid w:val="7AC05968"/>
    <w:multiLevelType w:val="hybridMultilevel"/>
    <w:tmpl w:val="07FA73D6"/>
    <w:lvl w:ilvl="0" w:tplc="1A603126">
      <w:start w:val="1"/>
      <w:numFmt w:val="lowerRoman"/>
      <w:pStyle w:val="NumberedRoman"/>
      <w:lvlText w:val="%1"/>
      <w:lvlJc w:val="left"/>
      <w:pPr>
        <w:ind w:left="36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C6A34AC"/>
    <w:multiLevelType w:val="multilevel"/>
    <w:tmpl w:val="3B64D938"/>
    <w:lvl w:ilvl="0">
      <w:start w:val="1"/>
      <w:numFmt w:val="lowerRoman"/>
      <w:pStyle w:val="06IANumberedpoints"/>
      <w:lvlText w:val="%1."/>
      <w:lvlJc w:val="left"/>
      <w:pPr>
        <w:tabs>
          <w:tab w:val="num" w:pos="1440"/>
        </w:tabs>
        <w:ind w:left="1080" w:hanging="360"/>
      </w:pPr>
      <w:rPr>
        <w:rFonts w:ascii="Arial" w:hAnsi="Arial" w:hint="default"/>
        <w:b w:val="0"/>
        <w:i w:val="0"/>
        <w:sz w:val="22"/>
      </w:rPr>
    </w:lvl>
    <w:lvl w:ilvl="1">
      <w:start w:val="1"/>
      <w:numFmt w:val="lowerRoman"/>
      <w:lvlText w:val="%2"/>
      <w:lvlJc w:val="left"/>
      <w:pPr>
        <w:tabs>
          <w:tab w:val="num" w:pos="1080"/>
        </w:tabs>
        <w:ind w:left="720" w:hanging="360"/>
      </w:pPr>
      <w:rPr>
        <w:rFonts w:ascii="Arial" w:hAnsi="Aria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7D433F00"/>
    <w:multiLevelType w:val="singleLevel"/>
    <w:tmpl w:val="FB9C29B6"/>
    <w:lvl w:ilvl="0">
      <w:start w:val="1"/>
      <w:numFmt w:val="decimal"/>
      <w:pStyle w:val="05IANumberedparagraph"/>
      <w:lvlText w:val="%1"/>
      <w:lvlJc w:val="left"/>
      <w:pPr>
        <w:tabs>
          <w:tab w:val="num" w:pos="540"/>
        </w:tabs>
        <w:ind w:left="540" w:hanging="540"/>
      </w:pPr>
      <w:rPr>
        <w:rFonts w:hint="default"/>
        <w:b w:val="0"/>
      </w:rPr>
    </w:lvl>
  </w:abstractNum>
  <w:abstractNum w:abstractNumId="56" w15:restartNumberingAfterBreak="0">
    <w:nsid w:val="7FCB5704"/>
    <w:multiLevelType w:val="hybridMultilevel"/>
    <w:tmpl w:val="D5DC02AA"/>
    <w:lvl w:ilvl="0" w:tplc="600C22BE">
      <w:start w:val="1"/>
      <w:numFmt w:val="bullet"/>
      <w:pStyle w:val="08IADash"/>
      <w:lvlText w:val=""/>
      <w:lvlJc w:val="left"/>
      <w:pPr>
        <w:tabs>
          <w:tab w:val="num" w:pos="1080"/>
        </w:tabs>
        <w:ind w:left="1080" w:hanging="720"/>
      </w:pPr>
      <w:rPr>
        <w:rFonts w:ascii="Symbol" w:hAnsi="Symbol" w:hint="default"/>
      </w:rPr>
    </w:lvl>
    <w:lvl w:ilvl="1" w:tplc="463A7B70" w:tentative="1">
      <w:start w:val="1"/>
      <w:numFmt w:val="bullet"/>
      <w:lvlText w:val="o"/>
      <w:lvlJc w:val="left"/>
      <w:pPr>
        <w:tabs>
          <w:tab w:val="num" w:pos="1440"/>
        </w:tabs>
        <w:ind w:left="1440" w:hanging="360"/>
      </w:pPr>
      <w:rPr>
        <w:rFonts w:ascii="Courier New" w:hAnsi="Courier New" w:hint="default"/>
      </w:rPr>
    </w:lvl>
    <w:lvl w:ilvl="2" w:tplc="0388C25E" w:tentative="1">
      <w:start w:val="1"/>
      <w:numFmt w:val="bullet"/>
      <w:lvlText w:val=""/>
      <w:lvlJc w:val="left"/>
      <w:pPr>
        <w:tabs>
          <w:tab w:val="num" w:pos="2160"/>
        </w:tabs>
        <w:ind w:left="2160" w:hanging="360"/>
      </w:pPr>
      <w:rPr>
        <w:rFonts w:ascii="Wingdings" w:hAnsi="Wingdings" w:hint="default"/>
      </w:rPr>
    </w:lvl>
    <w:lvl w:ilvl="3" w:tplc="38BE450C" w:tentative="1">
      <w:start w:val="1"/>
      <w:numFmt w:val="bullet"/>
      <w:lvlText w:val=""/>
      <w:lvlJc w:val="left"/>
      <w:pPr>
        <w:tabs>
          <w:tab w:val="num" w:pos="2880"/>
        </w:tabs>
        <w:ind w:left="2880" w:hanging="360"/>
      </w:pPr>
      <w:rPr>
        <w:rFonts w:ascii="Symbol" w:hAnsi="Symbol" w:hint="default"/>
      </w:rPr>
    </w:lvl>
    <w:lvl w:ilvl="4" w:tplc="4AF4E252" w:tentative="1">
      <w:start w:val="1"/>
      <w:numFmt w:val="bullet"/>
      <w:lvlText w:val="o"/>
      <w:lvlJc w:val="left"/>
      <w:pPr>
        <w:tabs>
          <w:tab w:val="num" w:pos="3600"/>
        </w:tabs>
        <w:ind w:left="3600" w:hanging="360"/>
      </w:pPr>
      <w:rPr>
        <w:rFonts w:ascii="Courier New" w:hAnsi="Courier New" w:hint="default"/>
      </w:rPr>
    </w:lvl>
    <w:lvl w:ilvl="5" w:tplc="FF5E4522" w:tentative="1">
      <w:start w:val="1"/>
      <w:numFmt w:val="bullet"/>
      <w:lvlText w:val=""/>
      <w:lvlJc w:val="left"/>
      <w:pPr>
        <w:tabs>
          <w:tab w:val="num" w:pos="4320"/>
        </w:tabs>
        <w:ind w:left="4320" w:hanging="360"/>
      </w:pPr>
      <w:rPr>
        <w:rFonts w:ascii="Wingdings" w:hAnsi="Wingdings" w:hint="default"/>
      </w:rPr>
    </w:lvl>
    <w:lvl w:ilvl="6" w:tplc="BDA63C44" w:tentative="1">
      <w:start w:val="1"/>
      <w:numFmt w:val="bullet"/>
      <w:lvlText w:val=""/>
      <w:lvlJc w:val="left"/>
      <w:pPr>
        <w:tabs>
          <w:tab w:val="num" w:pos="5040"/>
        </w:tabs>
        <w:ind w:left="5040" w:hanging="360"/>
      </w:pPr>
      <w:rPr>
        <w:rFonts w:ascii="Symbol" w:hAnsi="Symbol" w:hint="default"/>
      </w:rPr>
    </w:lvl>
    <w:lvl w:ilvl="7" w:tplc="7DDE3F34" w:tentative="1">
      <w:start w:val="1"/>
      <w:numFmt w:val="bullet"/>
      <w:lvlText w:val="o"/>
      <w:lvlJc w:val="left"/>
      <w:pPr>
        <w:tabs>
          <w:tab w:val="num" w:pos="5760"/>
        </w:tabs>
        <w:ind w:left="5760" w:hanging="360"/>
      </w:pPr>
      <w:rPr>
        <w:rFonts w:ascii="Courier New" w:hAnsi="Courier New" w:hint="default"/>
      </w:rPr>
    </w:lvl>
    <w:lvl w:ilvl="8" w:tplc="05F25C1C" w:tentative="1">
      <w:start w:val="1"/>
      <w:numFmt w:val="bullet"/>
      <w:lvlText w:val=""/>
      <w:lvlJc w:val="left"/>
      <w:pPr>
        <w:tabs>
          <w:tab w:val="num" w:pos="6480"/>
        </w:tabs>
        <w:ind w:left="6480" w:hanging="360"/>
      </w:pPr>
      <w:rPr>
        <w:rFonts w:ascii="Wingdings" w:hAnsi="Wingdings" w:hint="default"/>
      </w:rPr>
    </w:lvl>
  </w:abstractNum>
  <w:num w:numId="1">
    <w:abstractNumId w:val="54"/>
  </w:num>
  <w:num w:numId="2">
    <w:abstractNumId w:val="56"/>
  </w:num>
  <w:num w:numId="3">
    <w:abstractNumId w:val="12"/>
  </w:num>
  <w:num w:numId="4">
    <w:abstractNumId w:val="33"/>
  </w:num>
  <w:num w:numId="5">
    <w:abstractNumId w:val="55"/>
  </w:num>
  <w:num w:numId="6">
    <w:abstractNumId w:val="55"/>
    <w:lvlOverride w:ilvl="0">
      <w:startOverride w:val="1"/>
    </w:lvlOverride>
  </w:num>
  <w:num w:numId="7">
    <w:abstractNumId w:val="10"/>
  </w:num>
  <w:num w:numId="8">
    <w:abstractNumId w:val="20"/>
  </w:num>
  <w:num w:numId="9">
    <w:abstractNumId w:val="31"/>
  </w:num>
  <w:num w:numId="10">
    <w:abstractNumId w:val="13"/>
  </w:num>
  <w:num w:numId="11">
    <w:abstractNumId w:val="14"/>
  </w:num>
  <w:num w:numId="12">
    <w:abstractNumId w:val="52"/>
  </w:num>
  <w:num w:numId="13">
    <w:abstractNumId w:val="15"/>
  </w:num>
  <w:num w:numId="14">
    <w:abstractNumId w:val="19"/>
  </w:num>
  <w:num w:numId="15">
    <w:abstractNumId w:val="35"/>
  </w:num>
  <w:num w:numId="16">
    <w:abstractNumId w:val="26"/>
  </w:num>
  <w:num w:numId="17">
    <w:abstractNumId w:val="36"/>
  </w:num>
  <w:num w:numId="18">
    <w:abstractNumId w:val="23"/>
  </w:num>
  <w:num w:numId="19">
    <w:abstractNumId w:val="50"/>
  </w:num>
  <w:num w:numId="20">
    <w:abstractNumId w:val="11"/>
  </w:num>
  <w:num w:numId="21">
    <w:abstractNumId w:val="55"/>
  </w:num>
  <w:num w:numId="22">
    <w:abstractNumId w:val="55"/>
  </w:num>
  <w:num w:numId="23">
    <w:abstractNumId w:val="47"/>
  </w:num>
  <w:num w:numId="24">
    <w:abstractNumId w:val="37"/>
  </w:num>
  <w:num w:numId="25">
    <w:abstractNumId w:val="45"/>
  </w:num>
  <w:num w:numId="26">
    <w:abstractNumId w:val="17"/>
  </w:num>
  <w:num w:numId="27">
    <w:abstractNumId w:val="43"/>
  </w:num>
  <w:num w:numId="28">
    <w:abstractNumId w:val="46"/>
  </w:num>
  <w:num w:numId="29">
    <w:abstractNumId w:val="32"/>
  </w:num>
  <w:num w:numId="30">
    <w:abstractNumId w:val="25"/>
  </w:num>
  <w:num w:numId="31">
    <w:abstractNumId w:val="40"/>
  </w:num>
  <w:num w:numId="32">
    <w:abstractNumId w:val="4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53"/>
  </w:num>
  <w:num w:numId="44">
    <w:abstractNumId w:val="24"/>
  </w:num>
  <w:num w:numId="45">
    <w:abstractNumId w:val="21"/>
  </w:num>
  <w:num w:numId="46">
    <w:abstractNumId w:val="18"/>
  </w:num>
  <w:num w:numId="47">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removePersonalInformation/>
  <w:removeDateAndTime/>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oNotHyphenateCaps/>
  <w:drawingGridHorizontalSpacing w:val="110"/>
  <w:drawingGridVerticalSpacing w:val="181"/>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6BE74B1-051F-4F65-B865-FFC63E539BF4}"/>
    <w:docVar w:name="dgnword-eventsink" w:val="26183928"/>
  </w:docVars>
  <w:rsids>
    <w:rsidRoot w:val="00C17DCF"/>
    <w:rsid w:val="000029CE"/>
    <w:rsid w:val="00006F9F"/>
    <w:rsid w:val="0001312F"/>
    <w:rsid w:val="00023508"/>
    <w:rsid w:val="000257C6"/>
    <w:rsid w:val="00034DC2"/>
    <w:rsid w:val="000423FA"/>
    <w:rsid w:val="0004689E"/>
    <w:rsid w:val="00051649"/>
    <w:rsid w:val="000516E7"/>
    <w:rsid w:val="00053578"/>
    <w:rsid w:val="00061136"/>
    <w:rsid w:val="0006130C"/>
    <w:rsid w:val="000738B7"/>
    <w:rsid w:val="0007639E"/>
    <w:rsid w:val="00080822"/>
    <w:rsid w:val="00082101"/>
    <w:rsid w:val="00084800"/>
    <w:rsid w:val="00085E63"/>
    <w:rsid w:val="000923AE"/>
    <w:rsid w:val="0009461A"/>
    <w:rsid w:val="000A0F20"/>
    <w:rsid w:val="000A35D4"/>
    <w:rsid w:val="000B153C"/>
    <w:rsid w:val="000B3580"/>
    <w:rsid w:val="000B6D8D"/>
    <w:rsid w:val="000C1CE2"/>
    <w:rsid w:val="000C22BD"/>
    <w:rsid w:val="000D4754"/>
    <w:rsid w:val="000D4899"/>
    <w:rsid w:val="000D5C17"/>
    <w:rsid w:val="000E5575"/>
    <w:rsid w:val="000E5828"/>
    <w:rsid w:val="000F2BC0"/>
    <w:rsid w:val="0010281B"/>
    <w:rsid w:val="00113A33"/>
    <w:rsid w:val="00125B9E"/>
    <w:rsid w:val="001347DE"/>
    <w:rsid w:val="00134A52"/>
    <w:rsid w:val="00145198"/>
    <w:rsid w:val="00151AC7"/>
    <w:rsid w:val="00156B18"/>
    <w:rsid w:val="00157C41"/>
    <w:rsid w:val="00162D50"/>
    <w:rsid w:val="0016434D"/>
    <w:rsid w:val="00164402"/>
    <w:rsid w:val="0016621A"/>
    <w:rsid w:val="00166F6E"/>
    <w:rsid w:val="00177608"/>
    <w:rsid w:val="00177B3B"/>
    <w:rsid w:val="001921F9"/>
    <w:rsid w:val="00195536"/>
    <w:rsid w:val="001A0E9C"/>
    <w:rsid w:val="001A1BD0"/>
    <w:rsid w:val="001A44A8"/>
    <w:rsid w:val="001B2F51"/>
    <w:rsid w:val="001B4D7A"/>
    <w:rsid w:val="001B5AE5"/>
    <w:rsid w:val="001C1F0A"/>
    <w:rsid w:val="001C281B"/>
    <w:rsid w:val="001C5293"/>
    <w:rsid w:val="001C63E4"/>
    <w:rsid w:val="001D0F4B"/>
    <w:rsid w:val="001D35B4"/>
    <w:rsid w:val="001D61FE"/>
    <w:rsid w:val="001E4E09"/>
    <w:rsid w:val="001F1190"/>
    <w:rsid w:val="001F176F"/>
    <w:rsid w:val="001F3E46"/>
    <w:rsid w:val="00212EB5"/>
    <w:rsid w:val="00217ED0"/>
    <w:rsid w:val="00223D6B"/>
    <w:rsid w:val="00226A67"/>
    <w:rsid w:val="00235221"/>
    <w:rsid w:val="00237416"/>
    <w:rsid w:val="00250762"/>
    <w:rsid w:val="00254882"/>
    <w:rsid w:val="002550AB"/>
    <w:rsid w:val="00256FA5"/>
    <w:rsid w:val="00260B77"/>
    <w:rsid w:val="00262879"/>
    <w:rsid w:val="0026432D"/>
    <w:rsid w:val="002732B2"/>
    <w:rsid w:val="00281D5A"/>
    <w:rsid w:val="00286946"/>
    <w:rsid w:val="002977B8"/>
    <w:rsid w:val="002A1826"/>
    <w:rsid w:val="002A46AB"/>
    <w:rsid w:val="002B043F"/>
    <w:rsid w:val="002B2B8B"/>
    <w:rsid w:val="002B3AB6"/>
    <w:rsid w:val="002B6CE1"/>
    <w:rsid w:val="002C05A5"/>
    <w:rsid w:val="002C22E0"/>
    <w:rsid w:val="002C4515"/>
    <w:rsid w:val="002C7082"/>
    <w:rsid w:val="002C7FE8"/>
    <w:rsid w:val="002D2B06"/>
    <w:rsid w:val="002E0881"/>
    <w:rsid w:val="002E27E4"/>
    <w:rsid w:val="002E3972"/>
    <w:rsid w:val="002E3A8F"/>
    <w:rsid w:val="002F6F3C"/>
    <w:rsid w:val="002F7A66"/>
    <w:rsid w:val="00302065"/>
    <w:rsid w:val="003053D6"/>
    <w:rsid w:val="00310752"/>
    <w:rsid w:val="00315E15"/>
    <w:rsid w:val="00326237"/>
    <w:rsid w:val="003317D6"/>
    <w:rsid w:val="0033221B"/>
    <w:rsid w:val="00332A93"/>
    <w:rsid w:val="00341667"/>
    <w:rsid w:val="00346ACF"/>
    <w:rsid w:val="0035009F"/>
    <w:rsid w:val="00354D18"/>
    <w:rsid w:val="00356E35"/>
    <w:rsid w:val="0036738E"/>
    <w:rsid w:val="00371438"/>
    <w:rsid w:val="00374D5F"/>
    <w:rsid w:val="0038211A"/>
    <w:rsid w:val="003842F1"/>
    <w:rsid w:val="00397D18"/>
    <w:rsid w:val="003A4B35"/>
    <w:rsid w:val="003A667E"/>
    <w:rsid w:val="003B009B"/>
    <w:rsid w:val="003B724A"/>
    <w:rsid w:val="003C034C"/>
    <w:rsid w:val="003C1D58"/>
    <w:rsid w:val="003C1EB2"/>
    <w:rsid w:val="003D036F"/>
    <w:rsid w:val="00400332"/>
    <w:rsid w:val="00401006"/>
    <w:rsid w:val="00403618"/>
    <w:rsid w:val="004049E2"/>
    <w:rsid w:val="00407CBA"/>
    <w:rsid w:val="004111AD"/>
    <w:rsid w:val="004113AC"/>
    <w:rsid w:val="00433169"/>
    <w:rsid w:val="00434470"/>
    <w:rsid w:val="00443909"/>
    <w:rsid w:val="00444089"/>
    <w:rsid w:val="00445A0E"/>
    <w:rsid w:val="00452832"/>
    <w:rsid w:val="00456AA2"/>
    <w:rsid w:val="00462982"/>
    <w:rsid w:val="00462BF0"/>
    <w:rsid w:val="00463EF1"/>
    <w:rsid w:val="004647B0"/>
    <w:rsid w:val="004655C5"/>
    <w:rsid w:val="00466F4F"/>
    <w:rsid w:val="00473626"/>
    <w:rsid w:val="00477C04"/>
    <w:rsid w:val="00480AF2"/>
    <w:rsid w:val="00485BE1"/>
    <w:rsid w:val="0049107D"/>
    <w:rsid w:val="00493879"/>
    <w:rsid w:val="004A4A87"/>
    <w:rsid w:val="004A59D9"/>
    <w:rsid w:val="004B5BF9"/>
    <w:rsid w:val="004B79B4"/>
    <w:rsid w:val="004C1610"/>
    <w:rsid w:val="004C6338"/>
    <w:rsid w:val="004C6695"/>
    <w:rsid w:val="004C74F7"/>
    <w:rsid w:val="004D16C7"/>
    <w:rsid w:val="004D39F9"/>
    <w:rsid w:val="004F238E"/>
    <w:rsid w:val="004F4BDE"/>
    <w:rsid w:val="004F4C85"/>
    <w:rsid w:val="004F6822"/>
    <w:rsid w:val="004F72BF"/>
    <w:rsid w:val="00502C29"/>
    <w:rsid w:val="00504423"/>
    <w:rsid w:val="0050446A"/>
    <w:rsid w:val="005064F0"/>
    <w:rsid w:val="0051027D"/>
    <w:rsid w:val="00510A64"/>
    <w:rsid w:val="00511B68"/>
    <w:rsid w:val="005272B7"/>
    <w:rsid w:val="00544129"/>
    <w:rsid w:val="005454F6"/>
    <w:rsid w:val="00555F8D"/>
    <w:rsid w:val="00556F87"/>
    <w:rsid w:val="00557C09"/>
    <w:rsid w:val="00566E7B"/>
    <w:rsid w:val="00587DCA"/>
    <w:rsid w:val="005B55D2"/>
    <w:rsid w:val="005B6224"/>
    <w:rsid w:val="005B6743"/>
    <w:rsid w:val="005B68E4"/>
    <w:rsid w:val="005C2D31"/>
    <w:rsid w:val="005C60B6"/>
    <w:rsid w:val="005C722A"/>
    <w:rsid w:val="005D587A"/>
    <w:rsid w:val="005F102B"/>
    <w:rsid w:val="005F46B0"/>
    <w:rsid w:val="00606F05"/>
    <w:rsid w:val="00610826"/>
    <w:rsid w:val="00615DD3"/>
    <w:rsid w:val="00616060"/>
    <w:rsid w:val="006176AC"/>
    <w:rsid w:val="00625233"/>
    <w:rsid w:val="00630B14"/>
    <w:rsid w:val="00637F2D"/>
    <w:rsid w:val="006450FB"/>
    <w:rsid w:val="00654696"/>
    <w:rsid w:val="00654922"/>
    <w:rsid w:val="00660517"/>
    <w:rsid w:val="00662498"/>
    <w:rsid w:val="006640D3"/>
    <w:rsid w:val="00672644"/>
    <w:rsid w:val="00677C78"/>
    <w:rsid w:val="006901EF"/>
    <w:rsid w:val="006913FC"/>
    <w:rsid w:val="006935F6"/>
    <w:rsid w:val="00694305"/>
    <w:rsid w:val="00697BF7"/>
    <w:rsid w:val="006A1FAA"/>
    <w:rsid w:val="006A2536"/>
    <w:rsid w:val="006A4850"/>
    <w:rsid w:val="006A647F"/>
    <w:rsid w:val="006B010E"/>
    <w:rsid w:val="006B21B9"/>
    <w:rsid w:val="006B5524"/>
    <w:rsid w:val="006C12B6"/>
    <w:rsid w:val="006C41B5"/>
    <w:rsid w:val="006E096F"/>
    <w:rsid w:val="006F0E18"/>
    <w:rsid w:val="006F190F"/>
    <w:rsid w:val="006F371B"/>
    <w:rsid w:val="00715849"/>
    <w:rsid w:val="00720751"/>
    <w:rsid w:val="00722453"/>
    <w:rsid w:val="00723B1E"/>
    <w:rsid w:val="0072529C"/>
    <w:rsid w:val="00727B6A"/>
    <w:rsid w:val="0073634B"/>
    <w:rsid w:val="007412D7"/>
    <w:rsid w:val="007415A8"/>
    <w:rsid w:val="0074524B"/>
    <w:rsid w:val="00747C42"/>
    <w:rsid w:val="00752728"/>
    <w:rsid w:val="00755A59"/>
    <w:rsid w:val="00761EE6"/>
    <w:rsid w:val="007722B7"/>
    <w:rsid w:val="00782665"/>
    <w:rsid w:val="00787A20"/>
    <w:rsid w:val="00787AD2"/>
    <w:rsid w:val="00791988"/>
    <w:rsid w:val="0079266B"/>
    <w:rsid w:val="00794AB4"/>
    <w:rsid w:val="00794C86"/>
    <w:rsid w:val="007A0A43"/>
    <w:rsid w:val="007A3157"/>
    <w:rsid w:val="007A610F"/>
    <w:rsid w:val="007B10EF"/>
    <w:rsid w:val="007C7322"/>
    <w:rsid w:val="007D27DD"/>
    <w:rsid w:val="007D734B"/>
    <w:rsid w:val="007E02AD"/>
    <w:rsid w:val="007E0433"/>
    <w:rsid w:val="007F0826"/>
    <w:rsid w:val="007F466D"/>
    <w:rsid w:val="00801B6D"/>
    <w:rsid w:val="00803903"/>
    <w:rsid w:val="00803CAE"/>
    <w:rsid w:val="00816C05"/>
    <w:rsid w:val="0082059A"/>
    <w:rsid w:val="00835C03"/>
    <w:rsid w:val="00836AD5"/>
    <w:rsid w:val="00836D79"/>
    <w:rsid w:val="008414AB"/>
    <w:rsid w:val="00843110"/>
    <w:rsid w:val="00844AC1"/>
    <w:rsid w:val="00855EE0"/>
    <w:rsid w:val="0085609C"/>
    <w:rsid w:val="008579C7"/>
    <w:rsid w:val="00863DFE"/>
    <w:rsid w:val="00867670"/>
    <w:rsid w:val="0087380D"/>
    <w:rsid w:val="00876C27"/>
    <w:rsid w:val="0088186A"/>
    <w:rsid w:val="008847F7"/>
    <w:rsid w:val="00887FF3"/>
    <w:rsid w:val="008927EB"/>
    <w:rsid w:val="008929E4"/>
    <w:rsid w:val="008959AC"/>
    <w:rsid w:val="008973C8"/>
    <w:rsid w:val="008A03A2"/>
    <w:rsid w:val="008A3802"/>
    <w:rsid w:val="008A4F53"/>
    <w:rsid w:val="008B1BF5"/>
    <w:rsid w:val="008C72B7"/>
    <w:rsid w:val="008D4035"/>
    <w:rsid w:val="008E1262"/>
    <w:rsid w:val="008E5C24"/>
    <w:rsid w:val="008F0E3C"/>
    <w:rsid w:val="008F31D3"/>
    <w:rsid w:val="00903194"/>
    <w:rsid w:val="00903F9B"/>
    <w:rsid w:val="0091164F"/>
    <w:rsid w:val="00913B32"/>
    <w:rsid w:val="00914C97"/>
    <w:rsid w:val="00921C79"/>
    <w:rsid w:val="00924AE2"/>
    <w:rsid w:val="00934253"/>
    <w:rsid w:val="0093631C"/>
    <w:rsid w:val="009426A4"/>
    <w:rsid w:val="00946410"/>
    <w:rsid w:val="0095448C"/>
    <w:rsid w:val="00960663"/>
    <w:rsid w:val="009607CC"/>
    <w:rsid w:val="00960DA9"/>
    <w:rsid w:val="0096104D"/>
    <w:rsid w:val="00963C01"/>
    <w:rsid w:val="009661C2"/>
    <w:rsid w:val="0096661D"/>
    <w:rsid w:val="0098266E"/>
    <w:rsid w:val="00983B93"/>
    <w:rsid w:val="0099078C"/>
    <w:rsid w:val="009912DD"/>
    <w:rsid w:val="0099432D"/>
    <w:rsid w:val="00996217"/>
    <w:rsid w:val="009A52A8"/>
    <w:rsid w:val="009B0EA9"/>
    <w:rsid w:val="009B4EA0"/>
    <w:rsid w:val="009B6CDE"/>
    <w:rsid w:val="009C54C4"/>
    <w:rsid w:val="009C5B04"/>
    <w:rsid w:val="009D3CBA"/>
    <w:rsid w:val="009D6FA3"/>
    <w:rsid w:val="00A01CAA"/>
    <w:rsid w:val="00A02EDB"/>
    <w:rsid w:val="00A11238"/>
    <w:rsid w:val="00A1582F"/>
    <w:rsid w:val="00A21FE7"/>
    <w:rsid w:val="00A235C6"/>
    <w:rsid w:val="00A25411"/>
    <w:rsid w:val="00A25816"/>
    <w:rsid w:val="00A32915"/>
    <w:rsid w:val="00A40625"/>
    <w:rsid w:val="00A41536"/>
    <w:rsid w:val="00A46C79"/>
    <w:rsid w:val="00A50CBD"/>
    <w:rsid w:val="00A56FEA"/>
    <w:rsid w:val="00A579BB"/>
    <w:rsid w:val="00A7259D"/>
    <w:rsid w:val="00A80509"/>
    <w:rsid w:val="00A9223E"/>
    <w:rsid w:val="00AB099F"/>
    <w:rsid w:val="00AB0B53"/>
    <w:rsid w:val="00AB522F"/>
    <w:rsid w:val="00AC1780"/>
    <w:rsid w:val="00AC4123"/>
    <w:rsid w:val="00AC63D3"/>
    <w:rsid w:val="00AD72FB"/>
    <w:rsid w:val="00AE5FB0"/>
    <w:rsid w:val="00AE6FDF"/>
    <w:rsid w:val="00AF2C73"/>
    <w:rsid w:val="00B03475"/>
    <w:rsid w:val="00B03E00"/>
    <w:rsid w:val="00B2474A"/>
    <w:rsid w:val="00B24BDE"/>
    <w:rsid w:val="00B27085"/>
    <w:rsid w:val="00B442AD"/>
    <w:rsid w:val="00B44BF9"/>
    <w:rsid w:val="00B45948"/>
    <w:rsid w:val="00B46BD9"/>
    <w:rsid w:val="00B51611"/>
    <w:rsid w:val="00B54014"/>
    <w:rsid w:val="00B63E80"/>
    <w:rsid w:val="00B65F2F"/>
    <w:rsid w:val="00B813B9"/>
    <w:rsid w:val="00B84A3F"/>
    <w:rsid w:val="00B92EC3"/>
    <w:rsid w:val="00BA14F9"/>
    <w:rsid w:val="00BA4CE9"/>
    <w:rsid w:val="00BB1313"/>
    <w:rsid w:val="00BC0B51"/>
    <w:rsid w:val="00BD1107"/>
    <w:rsid w:val="00BD2D1B"/>
    <w:rsid w:val="00BE2F0D"/>
    <w:rsid w:val="00BE34C4"/>
    <w:rsid w:val="00BE5BE7"/>
    <w:rsid w:val="00C1184A"/>
    <w:rsid w:val="00C17DCF"/>
    <w:rsid w:val="00C25B19"/>
    <w:rsid w:val="00C4391E"/>
    <w:rsid w:val="00C526D1"/>
    <w:rsid w:val="00C53875"/>
    <w:rsid w:val="00C54C2C"/>
    <w:rsid w:val="00C55BC6"/>
    <w:rsid w:val="00C659E2"/>
    <w:rsid w:val="00C710D3"/>
    <w:rsid w:val="00C72E22"/>
    <w:rsid w:val="00C854EE"/>
    <w:rsid w:val="00C8746D"/>
    <w:rsid w:val="00CA28AF"/>
    <w:rsid w:val="00CB5D3F"/>
    <w:rsid w:val="00CC43E0"/>
    <w:rsid w:val="00CC7445"/>
    <w:rsid w:val="00CE1554"/>
    <w:rsid w:val="00CE2DC0"/>
    <w:rsid w:val="00CF0540"/>
    <w:rsid w:val="00CF3539"/>
    <w:rsid w:val="00CF523B"/>
    <w:rsid w:val="00D10E1A"/>
    <w:rsid w:val="00D113B3"/>
    <w:rsid w:val="00D21595"/>
    <w:rsid w:val="00D3359C"/>
    <w:rsid w:val="00D5070D"/>
    <w:rsid w:val="00D50AD0"/>
    <w:rsid w:val="00D5372B"/>
    <w:rsid w:val="00D55353"/>
    <w:rsid w:val="00D7173D"/>
    <w:rsid w:val="00D87309"/>
    <w:rsid w:val="00D9060A"/>
    <w:rsid w:val="00D933AF"/>
    <w:rsid w:val="00D976FC"/>
    <w:rsid w:val="00DA0C07"/>
    <w:rsid w:val="00DA2694"/>
    <w:rsid w:val="00DA5030"/>
    <w:rsid w:val="00DB3890"/>
    <w:rsid w:val="00DB58F4"/>
    <w:rsid w:val="00DB653C"/>
    <w:rsid w:val="00DD2E58"/>
    <w:rsid w:val="00DE2C93"/>
    <w:rsid w:val="00DE3FBD"/>
    <w:rsid w:val="00DF5A3A"/>
    <w:rsid w:val="00DF5F07"/>
    <w:rsid w:val="00E03030"/>
    <w:rsid w:val="00E0426A"/>
    <w:rsid w:val="00E12283"/>
    <w:rsid w:val="00E23EB8"/>
    <w:rsid w:val="00E304C0"/>
    <w:rsid w:val="00E33531"/>
    <w:rsid w:val="00E337C7"/>
    <w:rsid w:val="00E35F3F"/>
    <w:rsid w:val="00E35F46"/>
    <w:rsid w:val="00E373F2"/>
    <w:rsid w:val="00E44296"/>
    <w:rsid w:val="00E45117"/>
    <w:rsid w:val="00E517C1"/>
    <w:rsid w:val="00E51BA5"/>
    <w:rsid w:val="00E61D8B"/>
    <w:rsid w:val="00E759FD"/>
    <w:rsid w:val="00E869B2"/>
    <w:rsid w:val="00E90C32"/>
    <w:rsid w:val="00EA5147"/>
    <w:rsid w:val="00EB5AA0"/>
    <w:rsid w:val="00EC1927"/>
    <w:rsid w:val="00EC363B"/>
    <w:rsid w:val="00EC6666"/>
    <w:rsid w:val="00ED08F9"/>
    <w:rsid w:val="00ED13A8"/>
    <w:rsid w:val="00ED5F1A"/>
    <w:rsid w:val="00EE74AA"/>
    <w:rsid w:val="00EE791C"/>
    <w:rsid w:val="00EF317F"/>
    <w:rsid w:val="00EF77B8"/>
    <w:rsid w:val="00F0349C"/>
    <w:rsid w:val="00F07050"/>
    <w:rsid w:val="00F13643"/>
    <w:rsid w:val="00F15126"/>
    <w:rsid w:val="00F16367"/>
    <w:rsid w:val="00F20EAE"/>
    <w:rsid w:val="00F24C14"/>
    <w:rsid w:val="00F2792C"/>
    <w:rsid w:val="00F339F6"/>
    <w:rsid w:val="00F42032"/>
    <w:rsid w:val="00F43558"/>
    <w:rsid w:val="00F4507E"/>
    <w:rsid w:val="00F50753"/>
    <w:rsid w:val="00F52008"/>
    <w:rsid w:val="00F5364C"/>
    <w:rsid w:val="00F53FC3"/>
    <w:rsid w:val="00F55DC4"/>
    <w:rsid w:val="00F601AC"/>
    <w:rsid w:val="00F60371"/>
    <w:rsid w:val="00F75CAF"/>
    <w:rsid w:val="00F80C07"/>
    <w:rsid w:val="00F81E4E"/>
    <w:rsid w:val="00FB7A2E"/>
    <w:rsid w:val="00FC1D7C"/>
    <w:rsid w:val="00FC5DA4"/>
    <w:rsid w:val="00FC6380"/>
    <w:rsid w:val="00FD249F"/>
    <w:rsid w:val="00FE72BC"/>
    <w:rsid w:val="00FE7B7E"/>
    <w:rsid w:val="00FF009E"/>
    <w:rsid w:val="00FF0AE7"/>
    <w:rsid w:val="00FF1767"/>
    <w:rsid w:val="00FF1F71"/>
    <w:rsid w:val="00FF2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B4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524B"/>
    <w:pPr>
      <w:widowControl w:val="0"/>
      <w:spacing w:after="220"/>
    </w:pPr>
    <w:rPr>
      <w:rFonts w:ascii="Arial" w:hAnsi="Arial"/>
      <w:snapToGrid w:val="0"/>
      <w:sz w:val="22"/>
      <w:lang w:eastAsia="en-US"/>
    </w:rPr>
  </w:style>
  <w:style w:type="paragraph" w:styleId="Heading1">
    <w:name w:val="heading 1"/>
    <w:basedOn w:val="05IANumberedparagraph"/>
    <w:next w:val="Normal"/>
    <w:qFormat/>
    <w:rsid w:val="00125B9E"/>
    <w:pPr>
      <w:numPr>
        <w:numId w:val="0"/>
      </w:numPr>
      <w:outlineLvl w:val="0"/>
    </w:pPr>
    <w:rPr>
      <w:b/>
      <w:color w:val="9F1C64"/>
      <w:sz w:val="32"/>
    </w:rPr>
  </w:style>
  <w:style w:type="paragraph" w:styleId="Heading2">
    <w:name w:val="heading 2"/>
    <w:basedOn w:val="05IANumberedparagraph"/>
    <w:next w:val="Normal"/>
    <w:link w:val="Heading2Char"/>
    <w:qFormat/>
    <w:rsid w:val="00125B9E"/>
    <w:pPr>
      <w:numPr>
        <w:numId w:val="0"/>
      </w:numPr>
      <w:outlineLvl w:val="1"/>
    </w:pPr>
    <w:rPr>
      <w:b/>
      <w:color w:val="7F7F7F" w:themeColor="text1" w:themeTint="80"/>
      <w:sz w:val="28"/>
    </w:rPr>
  </w:style>
  <w:style w:type="paragraph" w:styleId="Heading3">
    <w:name w:val="heading 3"/>
    <w:basedOn w:val="05IANumberedparagraph"/>
    <w:next w:val="Normal"/>
    <w:qFormat/>
    <w:rsid w:val="005B55D2"/>
    <w:pPr>
      <w:numPr>
        <w:numId w:val="0"/>
      </w:numPr>
      <w:outlineLvl w:val="2"/>
    </w:pPr>
    <w:rPr>
      <w:b/>
      <w:sz w:val="24"/>
    </w:rPr>
  </w:style>
  <w:style w:type="paragraph" w:styleId="Heading4">
    <w:name w:val="heading 4"/>
    <w:basedOn w:val="Normal"/>
    <w:next w:val="Normal"/>
    <w:qFormat/>
    <w:rsid w:val="0074524B"/>
    <w:pPr>
      <w:keepNext/>
      <w:widowControl/>
      <w:spacing w:after="0"/>
      <w:outlineLvl w:val="3"/>
    </w:pPr>
    <w:rPr>
      <w:b/>
      <w:snapToGrid/>
    </w:rPr>
  </w:style>
  <w:style w:type="paragraph" w:styleId="Heading5">
    <w:name w:val="heading 5"/>
    <w:basedOn w:val="Normal"/>
    <w:next w:val="Normal"/>
    <w:rsid w:val="00836AD5"/>
    <w:pPr>
      <w:keepNext/>
      <w:widowControl/>
      <w:outlineLvl w:val="4"/>
    </w:pPr>
    <w:rPr>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836AD5"/>
    <w:rPr>
      <w:rFonts w:ascii="Arial" w:hAnsi="Arial"/>
      <w:sz w:val="18"/>
    </w:rPr>
  </w:style>
  <w:style w:type="paragraph" w:styleId="Header">
    <w:name w:val="header"/>
    <w:basedOn w:val="Normal"/>
    <w:rsid w:val="00836AD5"/>
  </w:style>
  <w:style w:type="paragraph" w:styleId="Footer">
    <w:name w:val="footer"/>
    <w:basedOn w:val="Normal"/>
    <w:link w:val="FooterChar"/>
    <w:uiPriority w:val="99"/>
    <w:rsid w:val="00836AD5"/>
    <w:pPr>
      <w:tabs>
        <w:tab w:val="center" w:pos="4153"/>
        <w:tab w:val="right" w:pos="8306"/>
      </w:tabs>
    </w:pPr>
  </w:style>
  <w:style w:type="character" w:styleId="PageNumber">
    <w:name w:val="page number"/>
    <w:basedOn w:val="DefaultParagraphFont"/>
    <w:rsid w:val="00836AD5"/>
    <w:rPr>
      <w:rFonts w:ascii="Arial" w:hAnsi="Arial"/>
      <w:sz w:val="22"/>
    </w:rPr>
  </w:style>
  <w:style w:type="paragraph" w:customStyle="1" w:styleId="09Normal">
    <w:name w:val="09Normal+"/>
    <w:basedOn w:val="Normal"/>
    <w:rsid w:val="00836AD5"/>
    <w:pPr>
      <w:widowControl/>
      <w:spacing w:before="120" w:after="120"/>
    </w:pPr>
    <w:rPr>
      <w:rFonts w:cs="Arial"/>
      <w:snapToGrid/>
      <w:color w:val="000000"/>
    </w:rPr>
  </w:style>
  <w:style w:type="paragraph" w:customStyle="1" w:styleId="07aIABullet">
    <w:name w:val="07a_IA_Bullet"/>
    <w:basedOn w:val="Normal"/>
    <w:rsid w:val="00836AD5"/>
  </w:style>
  <w:style w:type="paragraph" w:customStyle="1" w:styleId="06IANumberedpoints">
    <w:name w:val="06_IA_Numbered points"/>
    <w:basedOn w:val="Normal"/>
    <w:rsid w:val="00836AD5"/>
    <w:pPr>
      <w:numPr>
        <w:numId w:val="1"/>
      </w:numPr>
      <w:tabs>
        <w:tab w:val="left" w:pos="1080"/>
      </w:tabs>
      <w:spacing w:after="120"/>
    </w:pPr>
  </w:style>
  <w:style w:type="paragraph" w:customStyle="1" w:styleId="05IANumberedparagraph">
    <w:name w:val="05_IA_Numbered paragraph"/>
    <w:basedOn w:val="Normal"/>
    <w:link w:val="05IANumberedparagraphChar"/>
    <w:rsid w:val="00616060"/>
    <w:pPr>
      <w:widowControl/>
      <w:numPr>
        <w:numId w:val="5"/>
      </w:numPr>
      <w:ind w:left="539" w:hanging="539"/>
    </w:pPr>
  </w:style>
  <w:style w:type="paragraph" w:customStyle="1" w:styleId="00IAHeading1">
    <w:name w:val="00_IA_Heading_1"/>
    <w:basedOn w:val="Normal"/>
    <w:rsid w:val="00836AD5"/>
    <w:pPr>
      <w:keepNext/>
      <w:spacing w:before="240" w:after="120"/>
      <w:outlineLvl w:val="0"/>
    </w:pPr>
    <w:rPr>
      <w:rFonts w:ascii="Arial Black" w:hAnsi="Arial Black"/>
      <w:b/>
    </w:rPr>
  </w:style>
  <w:style w:type="paragraph" w:customStyle="1" w:styleId="01IAHeading2">
    <w:name w:val="01_IA_Heading_2"/>
    <w:basedOn w:val="Normal"/>
    <w:rsid w:val="00836AD5"/>
    <w:pPr>
      <w:keepNext/>
      <w:spacing w:before="120" w:after="120"/>
      <w:outlineLvl w:val="1"/>
    </w:pPr>
    <w:rPr>
      <w:b/>
    </w:rPr>
  </w:style>
  <w:style w:type="paragraph" w:customStyle="1" w:styleId="03IAHeading3">
    <w:name w:val="03_IA_Heading_3"/>
    <w:basedOn w:val="Normal"/>
    <w:rsid w:val="00836AD5"/>
    <w:pPr>
      <w:keepNext/>
      <w:spacing w:after="120"/>
      <w:outlineLvl w:val="2"/>
    </w:pPr>
    <w:rPr>
      <w:vanish/>
      <w:u w:val="single"/>
    </w:rPr>
  </w:style>
  <w:style w:type="paragraph" w:customStyle="1" w:styleId="08IADash">
    <w:name w:val="08_IA_Dash"/>
    <w:basedOn w:val="Normal"/>
    <w:rsid w:val="00836AD5"/>
    <w:pPr>
      <w:numPr>
        <w:numId w:val="2"/>
      </w:numPr>
      <w:tabs>
        <w:tab w:val="left" w:pos="1440"/>
      </w:tabs>
      <w:ind w:left="1440"/>
    </w:pPr>
  </w:style>
  <w:style w:type="paragraph" w:customStyle="1" w:styleId="099IAHindent1">
    <w:name w:val="099_IA_Hindent1"/>
    <w:basedOn w:val="Normal"/>
    <w:rsid w:val="00836AD5"/>
    <w:pPr>
      <w:widowControl/>
      <w:spacing w:before="120" w:after="120"/>
      <w:ind w:left="720" w:hanging="720"/>
    </w:pPr>
    <w:rPr>
      <w:snapToGrid/>
      <w:szCs w:val="24"/>
    </w:rPr>
  </w:style>
  <w:style w:type="paragraph" w:customStyle="1" w:styleId="099IAHindent2">
    <w:name w:val="099_IA_Hindent2"/>
    <w:basedOn w:val="099IAHindent1"/>
    <w:rsid w:val="00836AD5"/>
    <w:pPr>
      <w:ind w:left="1440" w:hanging="1440"/>
    </w:pPr>
  </w:style>
  <w:style w:type="paragraph" w:styleId="NormalWeb">
    <w:name w:val="Normal (Web)"/>
    <w:basedOn w:val="Normal"/>
    <w:rsid w:val="00836AD5"/>
    <w:pPr>
      <w:widowControl/>
      <w:spacing w:before="100" w:beforeAutospacing="1" w:after="100" w:afterAutospacing="1"/>
    </w:pPr>
    <w:rPr>
      <w:rFonts w:ascii="Arial Unicode MS" w:eastAsia="Arial Unicode MS" w:hAnsi="Arial Unicode MS" w:cs="Arial Unicode MS"/>
      <w:snapToGrid/>
      <w:sz w:val="24"/>
      <w:szCs w:val="24"/>
    </w:rPr>
  </w:style>
  <w:style w:type="paragraph" w:customStyle="1" w:styleId="088IAbulletaddbullet">
    <w:name w:val="088_IA_bullet (add bullet)"/>
    <w:basedOn w:val="099IAHindent1"/>
    <w:rsid w:val="00836AD5"/>
    <w:pPr>
      <w:ind w:hanging="360"/>
    </w:pPr>
    <w:rPr>
      <w:sz w:val="18"/>
    </w:rPr>
  </w:style>
  <w:style w:type="paragraph" w:customStyle="1" w:styleId="05aIASumFindparagraph">
    <w:name w:val="05a_IA_SumFindparagraph"/>
    <w:basedOn w:val="05IANumberedparagraph"/>
    <w:rsid w:val="00836AD5"/>
    <w:pPr>
      <w:numPr>
        <w:numId w:val="0"/>
      </w:numPr>
    </w:pPr>
  </w:style>
  <w:style w:type="paragraph" w:styleId="DocumentMap">
    <w:name w:val="Document Map"/>
    <w:basedOn w:val="Normal"/>
    <w:semiHidden/>
    <w:rsid w:val="00836AD5"/>
    <w:pPr>
      <w:shd w:val="clear" w:color="auto" w:fill="000080"/>
    </w:pPr>
    <w:rPr>
      <w:rFonts w:ascii="Tahoma" w:hAnsi="Tahoma"/>
    </w:rPr>
  </w:style>
  <w:style w:type="paragraph" w:customStyle="1" w:styleId="07bIASumFindbullet">
    <w:name w:val="07b_IA_SumFind bullet"/>
    <w:basedOn w:val="07aIABullet"/>
    <w:rsid w:val="00836AD5"/>
    <w:pPr>
      <w:widowControl/>
      <w:numPr>
        <w:numId w:val="3"/>
      </w:numPr>
      <w:spacing w:after="120"/>
    </w:pPr>
  </w:style>
  <w:style w:type="character" w:styleId="Emphasis">
    <w:name w:val="Emphasis"/>
    <w:basedOn w:val="DefaultParagraphFont"/>
    <w:rsid w:val="00836AD5"/>
    <w:rPr>
      <w:i/>
    </w:rPr>
  </w:style>
  <w:style w:type="paragraph" w:customStyle="1" w:styleId="H2">
    <w:name w:val="H2"/>
    <w:basedOn w:val="Normal"/>
    <w:next w:val="Normal"/>
    <w:rsid w:val="00836AD5"/>
    <w:pPr>
      <w:keepNext/>
      <w:widowControl/>
      <w:spacing w:before="100" w:after="100"/>
      <w:outlineLvl w:val="2"/>
    </w:pPr>
    <w:rPr>
      <w:rFonts w:ascii="Times New Roman" w:hAnsi="Times New Roman"/>
      <w:b/>
      <w:sz w:val="36"/>
    </w:rPr>
  </w:style>
  <w:style w:type="paragraph" w:styleId="FootnoteText">
    <w:name w:val="footnote text"/>
    <w:basedOn w:val="Normal"/>
    <w:link w:val="FootnoteTextChar"/>
    <w:uiPriority w:val="99"/>
    <w:rsid w:val="00836AD5"/>
    <w:rPr>
      <w:sz w:val="20"/>
    </w:rPr>
  </w:style>
  <w:style w:type="paragraph" w:styleId="BalloonText">
    <w:name w:val="Balloon Text"/>
    <w:basedOn w:val="Normal"/>
    <w:semiHidden/>
    <w:rsid w:val="00631829"/>
    <w:rPr>
      <w:rFonts w:ascii="Lucida Grande" w:hAnsi="Lucida Grande"/>
      <w:sz w:val="18"/>
      <w:szCs w:val="18"/>
    </w:rPr>
  </w:style>
  <w:style w:type="character" w:styleId="CommentReference">
    <w:name w:val="annotation reference"/>
    <w:basedOn w:val="DefaultParagraphFont"/>
    <w:semiHidden/>
    <w:rsid w:val="005D3F78"/>
    <w:rPr>
      <w:sz w:val="18"/>
    </w:rPr>
  </w:style>
  <w:style w:type="paragraph" w:styleId="CommentText">
    <w:name w:val="annotation text"/>
    <w:basedOn w:val="Normal"/>
    <w:semiHidden/>
    <w:rsid w:val="005D3F78"/>
    <w:rPr>
      <w:sz w:val="24"/>
      <w:szCs w:val="24"/>
    </w:rPr>
  </w:style>
  <w:style w:type="paragraph" w:styleId="CommentSubject">
    <w:name w:val="annotation subject"/>
    <w:basedOn w:val="CommentText"/>
    <w:next w:val="CommentText"/>
    <w:semiHidden/>
    <w:rsid w:val="005D3F78"/>
    <w:rPr>
      <w:sz w:val="22"/>
      <w:szCs w:val="20"/>
    </w:rPr>
  </w:style>
  <w:style w:type="paragraph" w:styleId="ListParagraph">
    <w:name w:val="List Paragraph"/>
    <w:basedOn w:val="Normal"/>
    <w:link w:val="ListParagraphChar"/>
    <w:uiPriority w:val="34"/>
    <w:qFormat/>
    <w:rsid w:val="00B24BDE"/>
    <w:pPr>
      <w:ind w:left="720"/>
    </w:pPr>
  </w:style>
  <w:style w:type="paragraph" w:styleId="Revision">
    <w:name w:val="Revision"/>
    <w:hidden/>
    <w:uiPriority w:val="99"/>
    <w:semiHidden/>
    <w:rsid w:val="00E45117"/>
    <w:rPr>
      <w:rFonts w:ascii="Arial" w:hAnsi="Arial"/>
      <w:snapToGrid w:val="0"/>
      <w:sz w:val="22"/>
      <w:lang w:eastAsia="en-US"/>
    </w:rPr>
  </w:style>
  <w:style w:type="table" w:styleId="TableGrid">
    <w:name w:val="Table Grid"/>
    <w:basedOn w:val="TableNormal"/>
    <w:uiPriority w:val="59"/>
    <w:rsid w:val="00AF2C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DE3FBD"/>
    <w:rPr>
      <w:rFonts w:ascii="Arial" w:hAnsi="Arial"/>
      <w:snapToGrid w:val="0"/>
      <w:sz w:val="22"/>
      <w:lang w:eastAsia="en-US"/>
    </w:rPr>
  </w:style>
  <w:style w:type="paragraph" w:customStyle="1" w:styleId="Numbered">
    <w:name w:val="Numbered"/>
    <w:basedOn w:val="Normal"/>
    <w:link w:val="NumberedChar"/>
    <w:qFormat/>
    <w:rsid w:val="00F16367"/>
    <w:pPr>
      <w:numPr>
        <w:numId w:val="16"/>
      </w:numPr>
    </w:pPr>
  </w:style>
  <w:style w:type="numbering" w:customStyle="1" w:styleId="QAAmultilist">
    <w:name w:val="QAA multi list"/>
    <w:uiPriority w:val="99"/>
    <w:rsid w:val="00566E7B"/>
    <w:pPr>
      <w:numPr>
        <w:numId w:val="15"/>
      </w:numPr>
    </w:pPr>
  </w:style>
  <w:style w:type="numbering" w:customStyle="1" w:styleId="QAAlist">
    <w:name w:val="QAA list"/>
    <w:uiPriority w:val="99"/>
    <w:rsid w:val="002A46AB"/>
    <w:pPr>
      <w:numPr>
        <w:numId w:val="17"/>
      </w:numPr>
    </w:pPr>
  </w:style>
  <w:style w:type="paragraph" w:customStyle="1" w:styleId="HKJHJKHJKHk">
    <w:name w:val="HKJHJKHJKHk"/>
    <w:basedOn w:val="Numbered"/>
    <w:link w:val="QAAnumberedChar"/>
    <w:rsid w:val="002A46AB"/>
    <w:pPr>
      <w:widowControl/>
      <w:numPr>
        <w:numId w:val="18"/>
      </w:numPr>
      <w:tabs>
        <w:tab w:val="left" w:pos="851"/>
      </w:tabs>
      <w:ind w:left="0" w:firstLine="0"/>
    </w:pPr>
  </w:style>
  <w:style w:type="character" w:customStyle="1" w:styleId="ListParagraphChar">
    <w:name w:val="List Paragraph Char"/>
    <w:basedOn w:val="DefaultParagraphFont"/>
    <w:link w:val="ListParagraph"/>
    <w:uiPriority w:val="34"/>
    <w:rsid w:val="004655C5"/>
    <w:rPr>
      <w:rFonts w:ascii="Arial" w:hAnsi="Arial"/>
      <w:snapToGrid w:val="0"/>
      <w:sz w:val="22"/>
      <w:lang w:eastAsia="en-US"/>
    </w:rPr>
  </w:style>
  <w:style w:type="character" w:customStyle="1" w:styleId="NumberedChar">
    <w:name w:val="Numbered Char"/>
    <w:basedOn w:val="DefaultParagraphFont"/>
    <w:link w:val="Numbered"/>
    <w:rsid w:val="002A46AB"/>
    <w:rPr>
      <w:rFonts w:ascii="Arial" w:hAnsi="Arial"/>
      <w:snapToGrid w:val="0"/>
      <w:sz w:val="22"/>
      <w:lang w:eastAsia="en-US"/>
    </w:rPr>
  </w:style>
  <w:style w:type="character" w:customStyle="1" w:styleId="QAAnumberedChar">
    <w:name w:val="QAA numbered Char"/>
    <w:basedOn w:val="NumberedChar"/>
    <w:link w:val="HKJHJKHJKHk"/>
    <w:rsid w:val="002A46AB"/>
    <w:rPr>
      <w:rFonts w:ascii="Arial" w:hAnsi="Arial"/>
      <w:snapToGrid w:val="0"/>
      <w:sz w:val="22"/>
      <w:lang w:eastAsia="en-US"/>
    </w:rPr>
  </w:style>
  <w:style w:type="paragraph" w:styleId="Salutation">
    <w:name w:val="Salutation"/>
    <w:basedOn w:val="Normal"/>
    <w:next w:val="Normal"/>
    <w:link w:val="SalutationChar"/>
    <w:uiPriority w:val="99"/>
    <w:unhideWhenUsed/>
    <w:rsid w:val="00456AA2"/>
  </w:style>
  <w:style w:type="paragraph" w:customStyle="1" w:styleId="Numbered2">
    <w:name w:val="Numbered 2"/>
    <w:basedOn w:val="Normal"/>
    <w:link w:val="Numbered2Char"/>
    <w:qFormat/>
    <w:rsid w:val="00C8746D"/>
    <w:pPr>
      <w:widowControl/>
      <w:numPr>
        <w:ilvl w:val="1"/>
        <w:numId w:val="28"/>
      </w:numPr>
      <w:tabs>
        <w:tab w:val="left" w:pos="851"/>
      </w:tabs>
    </w:pPr>
    <w:rPr>
      <w:rFonts w:cs="Arial"/>
      <w:snapToGrid/>
      <w:szCs w:val="24"/>
      <w:lang w:eastAsia="en-GB"/>
    </w:rPr>
  </w:style>
  <w:style w:type="character" w:customStyle="1" w:styleId="Numbered2Char">
    <w:name w:val="Numbered 2 Char"/>
    <w:basedOn w:val="DefaultParagraphFont"/>
    <w:link w:val="Numbered2"/>
    <w:rsid w:val="00C8746D"/>
    <w:rPr>
      <w:rFonts w:ascii="Arial" w:hAnsi="Arial" w:cs="Arial"/>
      <w:sz w:val="22"/>
      <w:szCs w:val="24"/>
    </w:rPr>
  </w:style>
  <w:style w:type="numbering" w:customStyle="1" w:styleId="QAAmulti-levellist">
    <w:name w:val="QAA multi-level list"/>
    <w:uiPriority w:val="99"/>
    <w:rsid w:val="00F601AC"/>
    <w:pPr>
      <w:numPr>
        <w:numId w:val="23"/>
      </w:numPr>
    </w:pPr>
  </w:style>
  <w:style w:type="numbering" w:customStyle="1" w:styleId="LIST2">
    <w:name w:val="LIST2"/>
    <w:uiPriority w:val="99"/>
    <w:rsid w:val="00637F2D"/>
    <w:pPr>
      <w:numPr>
        <w:numId w:val="24"/>
      </w:numPr>
    </w:pPr>
  </w:style>
  <w:style w:type="paragraph" w:customStyle="1" w:styleId="Numberedheading">
    <w:name w:val="Numbered heading"/>
    <w:basedOn w:val="Numbered2"/>
    <w:next w:val="Numbered2"/>
    <w:rsid w:val="00A25816"/>
    <w:pPr>
      <w:numPr>
        <w:ilvl w:val="0"/>
      </w:numPr>
    </w:pPr>
    <w:rPr>
      <w:b/>
      <w:bCs/>
      <w:sz w:val="28"/>
    </w:rPr>
  </w:style>
  <w:style w:type="paragraph" w:customStyle="1" w:styleId="sub-heading">
    <w:name w:val="sub-heading"/>
    <w:basedOn w:val="Numbered"/>
    <w:next w:val="Numbered2"/>
    <w:rsid w:val="00B03E00"/>
    <w:pPr>
      <w:numPr>
        <w:numId w:val="0"/>
      </w:numPr>
    </w:pPr>
    <w:rPr>
      <w:b/>
      <w:color w:val="7F7F7F"/>
    </w:rPr>
  </w:style>
  <w:style w:type="paragraph" w:styleId="TOC1">
    <w:name w:val="toc 1"/>
    <w:basedOn w:val="Normal"/>
    <w:next w:val="Normal"/>
    <w:autoRedefine/>
    <w:uiPriority w:val="39"/>
    <w:unhideWhenUsed/>
    <w:rsid w:val="00CF0540"/>
    <w:pPr>
      <w:tabs>
        <w:tab w:val="right" w:leader="dot" w:pos="9015"/>
      </w:tabs>
      <w:spacing w:before="240"/>
    </w:pPr>
    <w:rPr>
      <w:b/>
      <w:noProof/>
      <w:sz w:val="28"/>
    </w:rPr>
  </w:style>
  <w:style w:type="paragraph" w:styleId="TOC2">
    <w:name w:val="toc 2"/>
    <w:basedOn w:val="Normal"/>
    <w:next w:val="Normal"/>
    <w:autoRedefine/>
    <w:uiPriority w:val="39"/>
    <w:unhideWhenUsed/>
    <w:rsid w:val="00CF0540"/>
  </w:style>
  <w:style w:type="character" w:styleId="Hyperlink">
    <w:name w:val="Hyperlink"/>
    <w:basedOn w:val="DefaultParagraphFont"/>
    <w:uiPriority w:val="99"/>
    <w:unhideWhenUsed/>
    <w:rsid w:val="005B6743"/>
    <w:rPr>
      <w:color w:val="0000FF"/>
      <w:u w:val="single"/>
    </w:rPr>
  </w:style>
  <w:style w:type="paragraph" w:customStyle="1" w:styleId="QAAbullet">
    <w:name w:val="QAA bullet"/>
    <w:basedOn w:val="05IANumberedparagraph"/>
    <w:link w:val="QAAbulletChar"/>
    <w:qFormat/>
    <w:rsid w:val="0074524B"/>
    <w:pPr>
      <w:numPr>
        <w:numId w:val="14"/>
      </w:numPr>
      <w:spacing w:after="0"/>
      <w:ind w:left="851" w:hanging="851"/>
    </w:pPr>
  </w:style>
  <w:style w:type="character" w:customStyle="1" w:styleId="05IANumberedparagraphChar">
    <w:name w:val="05_IA_Numbered paragraph Char"/>
    <w:basedOn w:val="DefaultParagraphFont"/>
    <w:link w:val="05IANumberedparagraph"/>
    <w:rsid w:val="00616060"/>
    <w:rPr>
      <w:rFonts w:ascii="Arial" w:hAnsi="Arial"/>
      <w:snapToGrid w:val="0"/>
      <w:sz w:val="22"/>
      <w:lang w:eastAsia="en-US"/>
    </w:rPr>
  </w:style>
  <w:style w:type="character" w:customStyle="1" w:styleId="QAAbulletChar">
    <w:name w:val="QAA bullet Char"/>
    <w:basedOn w:val="05IANumberedparagraphChar"/>
    <w:link w:val="QAAbullet"/>
    <w:rsid w:val="0074524B"/>
    <w:rPr>
      <w:rFonts w:ascii="Arial" w:hAnsi="Arial"/>
      <w:snapToGrid w:val="0"/>
      <w:sz w:val="22"/>
      <w:lang w:eastAsia="en-US"/>
    </w:rPr>
  </w:style>
  <w:style w:type="character" w:customStyle="1" w:styleId="SalutationChar">
    <w:name w:val="Salutation Char"/>
    <w:basedOn w:val="DefaultParagraphFont"/>
    <w:link w:val="Salutation"/>
    <w:uiPriority w:val="99"/>
    <w:rsid w:val="00456AA2"/>
    <w:rPr>
      <w:rFonts w:ascii="Arial" w:hAnsi="Arial"/>
      <w:snapToGrid w:val="0"/>
      <w:sz w:val="22"/>
      <w:lang w:eastAsia="en-US"/>
    </w:rPr>
  </w:style>
  <w:style w:type="paragraph" w:styleId="TOC3">
    <w:name w:val="toc 3"/>
    <w:basedOn w:val="Normal"/>
    <w:next w:val="Normal"/>
    <w:autoRedefine/>
    <w:uiPriority w:val="39"/>
    <w:unhideWhenUsed/>
    <w:rsid w:val="007B10EF"/>
    <w:pPr>
      <w:ind w:left="440"/>
    </w:pPr>
  </w:style>
  <w:style w:type="paragraph" w:customStyle="1" w:styleId="Subbullet">
    <w:name w:val="Sub bullet"/>
    <w:basedOn w:val="Normal"/>
    <w:uiPriority w:val="99"/>
    <w:qFormat/>
    <w:rsid w:val="0074524B"/>
    <w:pPr>
      <w:widowControl/>
      <w:numPr>
        <w:numId w:val="46"/>
      </w:numPr>
      <w:tabs>
        <w:tab w:val="left" w:pos="1701"/>
      </w:tabs>
      <w:spacing w:after="0" w:line="300" w:lineRule="exact"/>
      <w:ind w:left="1702" w:hanging="851"/>
    </w:pPr>
    <w:rPr>
      <w:rFonts w:eastAsiaTheme="minorHAnsi" w:cs="Arial"/>
      <w:snapToGrid/>
      <w:szCs w:val="22"/>
      <w:lang w:eastAsia="en-GB"/>
    </w:rPr>
  </w:style>
  <w:style w:type="paragraph" w:customStyle="1" w:styleId="Heading2contents">
    <w:name w:val="Heading 2 contents"/>
    <w:basedOn w:val="Heading2"/>
    <w:link w:val="Heading2contentsChar"/>
    <w:rsid w:val="00341667"/>
  </w:style>
  <w:style w:type="character" w:customStyle="1" w:styleId="Heading2Char">
    <w:name w:val="Heading 2 Char"/>
    <w:basedOn w:val="05IANumberedparagraphChar"/>
    <w:link w:val="Heading2"/>
    <w:rsid w:val="00125B9E"/>
    <w:rPr>
      <w:rFonts w:ascii="Arial" w:hAnsi="Arial"/>
      <w:b/>
      <w:snapToGrid w:val="0"/>
      <w:color w:val="7F7F7F" w:themeColor="text1" w:themeTint="80"/>
      <w:sz w:val="28"/>
      <w:lang w:eastAsia="en-US"/>
    </w:rPr>
  </w:style>
  <w:style w:type="character" w:customStyle="1" w:styleId="Heading2contentsChar">
    <w:name w:val="Heading 2 contents Char"/>
    <w:basedOn w:val="Heading2Char"/>
    <w:link w:val="Heading2contents"/>
    <w:rsid w:val="00341667"/>
    <w:rPr>
      <w:rFonts w:ascii="Arial" w:hAnsi="Arial"/>
      <w:b/>
      <w:snapToGrid w:val="0"/>
      <w:color w:val="7F7F7F" w:themeColor="text1" w:themeTint="80"/>
      <w:sz w:val="28"/>
      <w:lang w:eastAsia="en-US"/>
    </w:rPr>
  </w:style>
  <w:style w:type="paragraph" w:customStyle="1" w:styleId="NumberedRoman">
    <w:name w:val="Numbered Roman"/>
    <w:basedOn w:val="Normal"/>
    <w:rsid w:val="007722B7"/>
    <w:pPr>
      <w:numPr>
        <w:numId w:val="43"/>
      </w:numPr>
      <w:ind w:left="0" w:firstLine="0"/>
    </w:pPr>
  </w:style>
  <w:style w:type="paragraph" w:customStyle="1" w:styleId="NormalText">
    <w:name w:val="Normal Text"/>
    <w:basedOn w:val="Normal"/>
    <w:rsid w:val="0035009F"/>
    <w:pPr>
      <w:widowControl/>
    </w:pPr>
    <w:rPr>
      <w:snapToGrid/>
      <w:szCs w:val="24"/>
    </w:rPr>
  </w:style>
  <w:style w:type="paragraph" w:customStyle="1" w:styleId="StyleHeading4NotItalic">
    <w:name w:val="Style Heading 4 + Not Italic"/>
    <w:basedOn w:val="Heading4"/>
    <w:rsid w:val="001E4E09"/>
    <w:rPr>
      <w:bCs/>
      <w:i/>
    </w:rPr>
  </w:style>
  <w:style w:type="paragraph" w:styleId="Title">
    <w:name w:val="Title"/>
    <w:aliases w:val="Strand title"/>
    <w:basedOn w:val="Normal"/>
    <w:next w:val="Normal"/>
    <w:link w:val="TitleChar"/>
    <w:uiPriority w:val="10"/>
    <w:qFormat/>
    <w:rsid w:val="008414AB"/>
    <w:pPr>
      <w:spacing w:after="0"/>
      <w:contextualSpacing/>
      <w:jc w:val="center"/>
    </w:pPr>
    <w:rPr>
      <w:rFonts w:eastAsiaTheme="majorEastAsia" w:cstheme="majorBidi"/>
      <w:b/>
      <w:color w:val="0076A8"/>
      <w:sz w:val="40"/>
      <w:szCs w:val="56"/>
    </w:rPr>
  </w:style>
  <w:style w:type="character" w:customStyle="1" w:styleId="TitleChar">
    <w:name w:val="Title Char"/>
    <w:aliases w:val="Strand title Char"/>
    <w:basedOn w:val="DefaultParagraphFont"/>
    <w:link w:val="Title"/>
    <w:uiPriority w:val="10"/>
    <w:rsid w:val="008414AB"/>
    <w:rPr>
      <w:rFonts w:ascii="Arial" w:eastAsiaTheme="majorEastAsia" w:hAnsi="Arial" w:cstheme="majorBidi"/>
      <w:b/>
      <w:snapToGrid w:val="0"/>
      <w:color w:val="0076A8"/>
      <w:sz w:val="40"/>
      <w:szCs w:val="56"/>
      <w:lang w:eastAsia="en-US"/>
    </w:rPr>
  </w:style>
  <w:style w:type="paragraph" w:customStyle="1" w:styleId="Papertitle">
    <w:name w:val="Paper title"/>
    <w:basedOn w:val="Title"/>
    <w:qFormat/>
    <w:rsid w:val="008414AB"/>
    <w:rPr>
      <w:color w:val="595959" w:themeColor="text1" w:themeTint="A6"/>
    </w:rPr>
  </w:style>
  <w:style w:type="character" w:customStyle="1" w:styleId="FootnoteTextChar">
    <w:name w:val="Footnote Text Char"/>
    <w:basedOn w:val="DefaultParagraphFont"/>
    <w:link w:val="FootnoteText"/>
    <w:uiPriority w:val="99"/>
    <w:rsid w:val="002C4515"/>
    <w:rPr>
      <w:rFonts w:ascii="Arial" w:hAnsi="Arial"/>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fficeforstudents.org.uk/advice-and-guidance/student-information-and-data/national-student-survey-nss/get-the-nss-data/"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2.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alker\Documents\Custom%20Office%20Templates\QAA-Word-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wyb15205\Sharefile\Personal%20Folders\Presentations\QAA%20Webinar%20May%202019\Charts%20etc\Figure%201,%20error%20bar%20overlap%20exampl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localhost\Users\alexbuckley\ShareFile\Personal%20Folders\Presentations\QAA%20Webinar%20May%202019\Charts%20etc\Strath%20civil%20over%20tim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localhost\Users\alexbuckley\ShareFile\Personal%20Folders\Presentations\QAA%20Webinar%20May%202019\Charts%20etc\Chemistry%20Q27%20institutional%20comparison.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Sheet1!$D$7</c:f>
              <c:strCache>
                <c:ptCount val="1"/>
                <c:pt idx="0">
                  <c:v>Institution A</c:v>
                </c:pt>
              </c:strCache>
            </c:strRef>
          </c:tx>
          <c:spPr>
            <a:solidFill>
              <a:schemeClr val="accent1"/>
            </a:solidFill>
            <a:ln>
              <a:noFill/>
            </a:ln>
            <a:effectLst/>
          </c:spPr>
          <c:invertIfNegative val="0"/>
          <c:errBars>
            <c:errBarType val="both"/>
            <c:errValType val="fixedVal"/>
            <c:noEndCap val="0"/>
            <c:val val="0.1"/>
            <c:spPr>
              <a:noFill/>
              <a:ln w="9525" cap="flat" cmpd="sng" algn="ctr">
                <a:solidFill>
                  <a:schemeClr val="tx1">
                    <a:lumMod val="65000"/>
                    <a:lumOff val="35000"/>
                  </a:schemeClr>
                </a:solidFill>
                <a:round/>
              </a:ln>
              <a:effectLst/>
            </c:spPr>
          </c:errBars>
          <c:cat>
            <c:strRef>
              <c:f>Sheet1!$A$8:$A$10</c:f>
              <c:strCache>
                <c:ptCount val="3"/>
                <c:pt idx="0">
                  <c:v>Example 1</c:v>
                </c:pt>
                <c:pt idx="1">
                  <c:v>Example 3</c:v>
                </c:pt>
                <c:pt idx="2">
                  <c:v>Example 2</c:v>
                </c:pt>
              </c:strCache>
            </c:strRef>
          </c:cat>
          <c:val>
            <c:numRef>
              <c:f>Sheet1!$D$8:$D$10</c:f>
              <c:numCache>
                <c:formatCode>0%</c:formatCode>
                <c:ptCount val="3"/>
                <c:pt idx="0">
                  <c:v>0.5</c:v>
                </c:pt>
                <c:pt idx="1">
                  <c:v>0.53</c:v>
                </c:pt>
                <c:pt idx="2">
                  <c:v>0.6</c:v>
                </c:pt>
              </c:numCache>
            </c:numRef>
          </c:val>
          <c:extLst>
            <c:ext xmlns:c16="http://schemas.microsoft.com/office/drawing/2014/chart" uri="{C3380CC4-5D6E-409C-BE32-E72D297353CC}">
              <c16:uniqueId val="{00000000-2053-46C3-ACDA-388ADAA92514}"/>
            </c:ext>
          </c:extLst>
        </c:ser>
        <c:ser>
          <c:idx val="1"/>
          <c:order val="1"/>
          <c:tx>
            <c:strRef>
              <c:f>Sheet1!$G$7</c:f>
              <c:strCache>
                <c:ptCount val="1"/>
                <c:pt idx="0">
                  <c:v>Institution B</c:v>
                </c:pt>
              </c:strCache>
            </c:strRef>
          </c:tx>
          <c:spPr>
            <a:solidFill>
              <a:schemeClr val="accent2"/>
            </a:solidFill>
            <a:ln>
              <a:noFill/>
            </a:ln>
            <a:effectLst/>
          </c:spPr>
          <c:invertIfNegative val="0"/>
          <c:errBars>
            <c:errBarType val="both"/>
            <c:errValType val="fixedVal"/>
            <c:noEndCap val="0"/>
            <c:val val="0.1"/>
            <c:spPr>
              <a:noFill/>
              <a:ln w="9525" cap="flat" cmpd="sng" algn="ctr">
                <a:solidFill>
                  <a:schemeClr val="tx1">
                    <a:lumMod val="65000"/>
                    <a:lumOff val="35000"/>
                  </a:schemeClr>
                </a:solidFill>
                <a:round/>
              </a:ln>
              <a:effectLst/>
            </c:spPr>
          </c:errBars>
          <c:cat>
            <c:strRef>
              <c:f>Sheet1!$A$8:$A$10</c:f>
              <c:strCache>
                <c:ptCount val="3"/>
                <c:pt idx="0">
                  <c:v>Example 1</c:v>
                </c:pt>
                <c:pt idx="1">
                  <c:v>Example 3</c:v>
                </c:pt>
                <c:pt idx="2">
                  <c:v>Example 2</c:v>
                </c:pt>
              </c:strCache>
            </c:strRef>
          </c:cat>
          <c:val>
            <c:numRef>
              <c:f>Sheet1!$G$8:$G$10</c:f>
              <c:numCache>
                <c:formatCode>0%</c:formatCode>
                <c:ptCount val="3"/>
                <c:pt idx="0">
                  <c:v>0.7</c:v>
                </c:pt>
                <c:pt idx="1">
                  <c:v>0.7</c:v>
                </c:pt>
                <c:pt idx="2">
                  <c:v>0.7</c:v>
                </c:pt>
              </c:numCache>
            </c:numRef>
          </c:val>
          <c:extLst>
            <c:ext xmlns:c16="http://schemas.microsoft.com/office/drawing/2014/chart" uri="{C3380CC4-5D6E-409C-BE32-E72D297353CC}">
              <c16:uniqueId val="{00000001-2053-46C3-ACDA-388ADAA92514}"/>
            </c:ext>
          </c:extLst>
        </c:ser>
        <c:dLbls>
          <c:showLegendKey val="0"/>
          <c:showVal val="0"/>
          <c:showCatName val="0"/>
          <c:showSerName val="0"/>
          <c:showPercent val="0"/>
          <c:showBubbleSize val="0"/>
        </c:dLbls>
        <c:gapWidth val="219"/>
        <c:overlap val="-27"/>
        <c:axId val="-2119505008"/>
        <c:axId val="-2120191696"/>
      </c:barChart>
      <c:catAx>
        <c:axId val="-2119505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charset="0"/>
                <a:ea typeface="Arial" charset="0"/>
                <a:cs typeface="Arial" charset="0"/>
              </a:defRPr>
            </a:pPr>
            <a:endParaRPr lang="en-US"/>
          </a:p>
        </c:txPr>
        <c:crossAx val="-2120191696"/>
        <c:crosses val="autoZero"/>
        <c:auto val="1"/>
        <c:lblAlgn val="ctr"/>
        <c:lblOffset val="100"/>
        <c:noMultiLvlLbl val="0"/>
      </c:catAx>
      <c:valAx>
        <c:axId val="-21201916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charset="0"/>
                <a:ea typeface="Arial" charset="0"/>
                <a:cs typeface="Arial" charset="0"/>
              </a:defRPr>
            </a:pPr>
            <a:endParaRPr lang="en-US"/>
          </a:p>
        </c:txPr>
        <c:crossAx val="-2119505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charset="0"/>
              <a:ea typeface="Arial" charset="0"/>
              <a:cs typeface="Arial"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charset="0"/>
          <a:ea typeface="Arial" charset="0"/>
          <a:cs typeface="Arial"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errBars>
            <c:errBarType val="both"/>
            <c:errValType val="cust"/>
            <c:noEndCap val="0"/>
            <c:plus>
              <c:numRef>
                <c:f>Sheet3!$F$2:$F$6</c:f>
                <c:numCache>
                  <c:formatCode>General</c:formatCode>
                  <c:ptCount val="5"/>
                  <c:pt idx="0">
                    <c:v>0.17</c:v>
                  </c:pt>
                  <c:pt idx="1">
                    <c:v>0.11</c:v>
                  </c:pt>
                  <c:pt idx="2">
                    <c:v>7.0000000000000104E-2</c:v>
                  </c:pt>
                  <c:pt idx="3">
                    <c:v>0.08</c:v>
                  </c:pt>
                  <c:pt idx="4">
                    <c:v>0.1</c:v>
                  </c:pt>
                </c:numCache>
              </c:numRef>
            </c:plus>
            <c:minus>
              <c:numRef>
                <c:f>Sheet3!$G$2:$G$6</c:f>
                <c:numCache>
                  <c:formatCode>General</c:formatCode>
                  <c:ptCount val="5"/>
                  <c:pt idx="0">
                    <c:v>0.21</c:v>
                  </c:pt>
                  <c:pt idx="1">
                    <c:v>0.13</c:v>
                  </c:pt>
                  <c:pt idx="2">
                    <c:v>0.13</c:v>
                  </c:pt>
                  <c:pt idx="3">
                    <c:v>0.15</c:v>
                  </c:pt>
                  <c:pt idx="4">
                    <c:v>0.14000000000000001</c:v>
                  </c:pt>
                </c:numCache>
              </c:numRef>
            </c:minus>
            <c:spPr>
              <a:noFill/>
              <a:ln w="9525" cap="flat" cmpd="sng" algn="ctr">
                <a:solidFill>
                  <a:schemeClr val="tx1">
                    <a:lumMod val="65000"/>
                    <a:lumOff val="35000"/>
                  </a:schemeClr>
                </a:solidFill>
                <a:round/>
              </a:ln>
              <a:effectLst/>
            </c:spPr>
          </c:errBars>
          <c:cat>
            <c:strRef>
              <c:f>Sheet3!$A$2:$A$6</c:f>
              <c:strCache>
                <c:ptCount val="5"/>
                <c:pt idx="0">
                  <c:v>Year 2012</c:v>
                </c:pt>
                <c:pt idx="1">
                  <c:v>Year 2013</c:v>
                </c:pt>
                <c:pt idx="2">
                  <c:v>Year 2014</c:v>
                </c:pt>
                <c:pt idx="3">
                  <c:v>Year 2015</c:v>
                </c:pt>
                <c:pt idx="4">
                  <c:v>Year 2016</c:v>
                </c:pt>
              </c:strCache>
            </c:strRef>
          </c:cat>
          <c:val>
            <c:numRef>
              <c:f>Sheet3!$D$2:$D$6</c:f>
              <c:numCache>
                <c:formatCode>0%</c:formatCode>
                <c:ptCount val="5"/>
                <c:pt idx="0">
                  <c:v>0.62</c:v>
                </c:pt>
                <c:pt idx="1">
                  <c:v>0.69</c:v>
                </c:pt>
                <c:pt idx="2">
                  <c:v>0.85</c:v>
                </c:pt>
                <c:pt idx="3">
                  <c:v>0.86</c:v>
                </c:pt>
                <c:pt idx="4">
                  <c:v>0.72</c:v>
                </c:pt>
              </c:numCache>
            </c:numRef>
          </c:val>
          <c:extLst>
            <c:ext xmlns:c16="http://schemas.microsoft.com/office/drawing/2014/chart" uri="{C3380CC4-5D6E-409C-BE32-E72D297353CC}">
              <c16:uniqueId val="{00000000-03D7-4900-803E-5728D382BCF2}"/>
            </c:ext>
          </c:extLst>
        </c:ser>
        <c:dLbls>
          <c:showLegendKey val="0"/>
          <c:showVal val="0"/>
          <c:showCatName val="0"/>
          <c:showSerName val="0"/>
          <c:showPercent val="0"/>
          <c:showBubbleSize val="0"/>
        </c:dLbls>
        <c:gapWidth val="50"/>
        <c:overlap val="-27"/>
        <c:axId val="-2077597440"/>
        <c:axId val="-2064319488"/>
      </c:barChart>
      <c:catAx>
        <c:axId val="-2077597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charset="0"/>
                <a:ea typeface="Arial" charset="0"/>
                <a:cs typeface="Arial" charset="0"/>
              </a:defRPr>
            </a:pPr>
            <a:endParaRPr lang="en-US"/>
          </a:p>
        </c:txPr>
        <c:crossAx val="-2064319488"/>
        <c:crosses val="autoZero"/>
        <c:auto val="1"/>
        <c:lblAlgn val="ctr"/>
        <c:lblOffset val="100"/>
        <c:noMultiLvlLbl val="0"/>
      </c:catAx>
      <c:valAx>
        <c:axId val="-20643194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charset="0"/>
                <a:ea typeface="Arial" charset="0"/>
                <a:cs typeface="Arial" charset="0"/>
              </a:defRPr>
            </a:pPr>
            <a:endParaRPr lang="en-US"/>
          </a:p>
        </c:txPr>
        <c:crossAx val="-2077597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charset="0"/>
          <a:ea typeface="Arial" charset="0"/>
          <a:cs typeface="Arial"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errBars>
            <c:errBarType val="both"/>
            <c:errValType val="cust"/>
            <c:noEndCap val="0"/>
            <c:plus>
              <c:numRef>
                <c:f>Sheet1!$Q$2:$Q$63</c:f>
                <c:numCache>
                  <c:formatCode>General</c:formatCode>
                  <c:ptCount val="62"/>
                  <c:pt idx="0">
                    <c:v>0</c:v>
                  </c:pt>
                  <c:pt idx="1">
                    <c:v>0</c:v>
                  </c:pt>
                  <c:pt idx="2">
                    <c:v>0</c:v>
                  </c:pt>
                  <c:pt idx="3">
                    <c:v>0.02</c:v>
                  </c:pt>
                  <c:pt idx="4">
                    <c:v>0.03</c:v>
                  </c:pt>
                  <c:pt idx="5">
                    <c:v>0.03</c:v>
                  </c:pt>
                  <c:pt idx="6">
                    <c:v>0.03</c:v>
                  </c:pt>
                  <c:pt idx="7">
                    <c:v>0.04</c:v>
                  </c:pt>
                  <c:pt idx="8">
                    <c:v>0.04</c:v>
                  </c:pt>
                  <c:pt idx="9">
                    <c:v>0.03</c:v>
                  </c:pt>
                  <c:pt idx="10">
                    <c:v>0.04</c:v>
                  </c:pt>
                  <c:pt idx="11">
                    <c:v>0.05</c:v>
                  </c:pt>
                  <c:pt idx="12">
                    <c:v>0.04</c:v>
                  </c:pt>
                  <c:pt idx="13">
                    <c:v>0.04</c:v>
                  </c:pt>
                  <c:pt idx="14">
                    <c:v>0.05</c:v>
                  </c:pt>
                  <c:pt idx="15">
                    <c:v>4.9999999999999899E-2</c:v>
                  </c:pt>
                  <c:pt idx="16">
                    <c:v>5.9999999999999901E-2</c:v>
                  </c:pt>
                  <c:pt idx="17">
                    <c:v>4.9999999999999899E-2</c:v>
                  </c:pt>
                  <c:pt idx="18">
                    <c:v>3.9999999999999897E-2</c:v>
                  </c:pt>
                  <c:pt idx="19">
                    <c:v>3.9999999999999897E-2</c:v>
                  </c:pt>
                  <c:pt idx="20">
                    <c:v>4.9999999999999899E-2</c:v>
                  </c:pt>
                  <c:pt idx="21">
                    <c:v>4.9999999999999899E-2</c:v>
                  </c:pt>
                  <c:pt idx="22">
                    <c:v>5.9999999999999901E-2</c:v>
                  </c:pt>
                  <c:pt idx="23">
                    <c:v>5.9999999999999901E-2</c:v>
                  </c:pt>
                  <c:pt idx="24">
                    <c:v>3.9999999999999897E-2</c:v>
                  </c:pt>
                  <c:pt idx="25">
                    <c:v>5.9999999999999901E-2</c:v>
                  </c:pt>
                  <c:pt idx="26">
                    <c:v>3.9999999999999897E-2</c:v>
                  </c:pt>
                  <c:pt idx="27">
                    <c:v>4.9999999999999899E-2</c:v>
                  </c:pt>
                  <c:pt idx="28">
                    <c:v>4.9999999999999899E-2</c:v>
                  </c:pt>
                  <c:pt idx="29">
                    <c:v>4.9999999999999899E-2</c:v>
                  </c:pt>
                  <c:pt idx="30">
                    <c:v>0.08</c:v>
                  </c:pt>
                  <c:pt idx="31">
                    <c:v>0.08</c:v>
                  </c:pt>
                  <c:pt idx="32">
                    <c:v>5.9999999999999901E-2</c:v>
                  </c:pt>
                  <c:pt idx="33">
                    <c:v>4.9999999999999899E-2</c:v>
                  </c:pt>
                  <c:pt idx="34">
                    <c:v>5.9999999999999901E-2</c:v>
                  </c:pt>
                  <c:pt idx="35">
                    <c:v>6.9999999999999896E-2</c:v>
                  </c:pt>
                  <c:pt idx="36">
                    <c:v>6.9999999999999896E-2</c:v>
                  </c:pt>
                  <c:pt idx="37">
                    <c:v>5.9999999999999901E-2</c:v>
                  </c:pt>
                  <c:pt idx="38">
                    <c:v>5.9999999999999901E-2</c:v>
                  </c:pt>
                  <c:pt idx="39">
                    <c:v>0.06</c:v>
                  </c:pt>
                  <c:pt idx="40">
                    <c:v>0.11</c:v>
                  </c:pt>
                  <c:pt idx="41">
                    <c:v>0.06</c:v>
                  </c:pt>
                  <c:pt idx="42">
                    <c:v>0.1</c:v>
                  </c:pt>
                  <c:pt idx="43">
                    <c:v>0.06</c:v>
                  </c:pt>
                  <c:pt idx="44">
                    <c:v>0.09</c:v>
                  </c:pt>
                  <c:pt idx="45">
                    <c:v>0.06</c:v>
                  </c:pt>
                  <c:pt idx="46">
                    <c:v>0.11</c:v>
                  </c:pt>
                  <c:pt idx="47">
                    <c:v>0.11</c:v>
                  </c:pt>
                  <c:pt idx="48">
                    <c:v>8.0000000000000099E-2</c:v>
                  </c:pt>
                  <c:pt idx="49">
                    <c:v>0.08</c:v>
                  </c:pt>
                  <c:pt idx="50">
                    <c:v>0.14000000000000001</c:v>
                  </c:pt>
                  <c:pt idx="51">
                    <c:v>0.15</c:v>
                  </c:pt>
                  <c:pt idx="52">
                    <c:v>0.13</c:v>
                  </c:pt>
                  <c:pt idx="53">
                    <c:v>0.1</c:v>
                  </c:pt>
                  <c:pt idx="54">
                    <c:v>0.15</c:v>
                  </c:pt>
                  <c:pt idx="55">
                    <c:v>0.08</c:v>
                  </c:pt>
                  <c:pt idx="56">
                    <c:v>0.15</c:v>
                  </c:pt>
                  <c:pt idx="57">
                    <c:v>0.16</c:v>
                  </c:pt>
                  <c:pt idx="58">
                    <c:v>0.14000000000000001</c:v>
                  </c:pt>
                  <c:pt idx="59">
                    <c:v>0.15</c:v>
                  </c:pt>
                  <c:pt idx="60">
                    <c:v>0.16</c:v>
                  </c:pt>
                  <c:pt idx="61">
                    <c:v>0.08</c:v>
                  </c:pt>
                </c:numCache>
              </c:numRef>
            </c:plus>
            <c:minus>
              <c:numRef>
                <c:f>Sheet1!$R$2:$R$63</c:f>
                <c:numCache>
                  <c:formatCode>General</c:formatCode>
                  <c:ptCount val="62"/>
                  <c:pt idx="0">
                    <c:v>0.27</c:v>
                  </c:pt>
                  <c:pt idx="1">
                    <c:v>0.27</c:v>
                  </c:pt>
                  <c:pt idx="2">
                    <c:v>0.17</c:v>
                  </c:pt>
                  <c:pt idx="3">
                    <c:v>5.9999999999999901E-2</c:v>
                  </c:pt>
                  <c:pt idx="4">
                    <c:v>0.1</c:v>
                  </c:pt>
                  <c:pt idx="5">
                    <c:v>0.2</c:v>
                  </c:pt>
                  <c:pt idx="6">
                    <c:v>0.08</c:v>
                  </c:pt>
                  <c:pt idx="7">
                    <c:v>0.13</c:v>
                  </c:pt>
                  <c:pt idx="8">
                    <c:v>0.18</c:v>
                  </c:pt>
                  <c:pt idx="9">
                    <c:v>0.08</c:v>
                  </c:pt>
                  <c:pt idx="10">
                    <c:v>0.13</c:v>
                  </c:pt>
                  <c:pt idx="11">
                    <c:v>0.24</c:v>
                  </c:pt>
                  <c:pt idx="12">
                    <c:v>0.11</c:v>
                  </c:pt>
                  <c:pt idx="13">
                    <c:v>0.12</c:v>
                  </c:pt>
                  <c:pt idx="14">
                    <c:v>0.25</c:v>
                  </c:pt>
                  <c:pt idx="15">
                    <c:v>0.14000000000000001</c:v>
                  </c:pt>
                  <c:pt idx="16">
                    <c:v>0.28000000000000003</c:v>
                  </c:pt>
                  <c:pt idx="17">
                    <c:v>0.16</c:v>
                  </c:pt>
                  <c:pt idx="18">
                    <c:v>0.1</c:v>
                  </c:pt>
                  <c:pt idx="19">
                    <c:v>0.1</c:v>
                  </c:pt>
                  <c:pt idx="20">
                    <c:v>9.0000000000000094E-2</c:v>
                  </c:pt>
                  <c:pt idx="21">
                    <c:v>0.1</c:v>
                  </c:pt>
                  <c:pt idx="22">
                    <c:v>0.15</c:v>
                  </c:pt>
                  <c:pt idx="23">
                    <c:v>0.17</c:v>
                  </c:pt>
                  <c:pt idx="24">
                    <c:v>8.0000000000000099E-2</c:v>
                  </c:pt>
                  <c:pt idx="25">
                    <c:v>0.14000000000000001</c:v>
                  </c:pt>
                  <c:pt idx="26">
                    <c:v>7.0000000000000104E-2</c:v>
                  </c:pt>
                  <c:pt idx="27">
                    <c:v>0.09</c:v>
                  </c:pt>
                  <c:pt idx="28">
                    <c:v>0.1</c:v>
                  </c:pt>
                  <c:pt idx="29">
                    <c:v>0.11</c:v>
                  </c:pt>
                  <c:pt idx="30">
                    <c:v>0.23</c:v>
                  </c:pt>
                  <c:pt idx="31">
                    <c:v>0.22</c:v>
                  </c:pt>
                  <c:pt idx="32">
                    <c:v>0.1</c:v>
                  </c:pt>
                  <c:pt idx="33">
                    <c:v>0.09</c:v>
                  </c:pt>
                  <c:pt idx="34">
                    <c:v>0.1</c:v>
                  </c:pt>
                  <c:pt idx="35">
                    <c:v>0.16</c:v>
                  </c:pt>
                  <c:pt idx="36">
                    <c:v>0.16</c:v>
                  </c:pt>
                  <c:pt idx="37">
                    <c:v>0.12</c:v>
                  </c:pt>
                  <c:pt idx="38">
                    <c:v>0.12</c:v>
                  </c:pt>
                  <c:pt idx="39">
                    <c:v>0.09</c:v>
                  </c:pt>
                  <c:pt idx="40">
                    <c:v>0.4</c:v>
                  </c:pt>
                  <c:pt idx="41">
                    <c:v>0.12</c:v>
                  </c:pt>
                  <c:pt idx="42">
                    <c:v>0.28000000000000003</c:v>
                  </c:pt>
                  <c:pt idx="43">
                    <c:v>0.1</c:v>
                  </c:pt>
                  <c:pt idx="44">
                    <c:v>0.16</c:v>
                  </c:pt>
                  <c:pt idx="45">
                    <c:v>0.08</c:v>
                  </c:pt>
                  <c:pt idx="46">
                    <c:v>0.23</c:v>
                  </c:pt>
                  <c:pt idx="47">
                    <c:v>0.23</c:v>
                  </c:pt>
                  <c:pt idx="48">
                    <c:v>0.13</c:v>
                  </c:pt>
                  <c:pt idx="49">
                    <c:v>0.12</c:v>
                  </c:pt>
                  <c:pt idx="50">
                    <c:v>0.28000000000000003</c:v>
                  </c:pt>
                  <c:pt idx="51">
                    <c:v>0.34</c:v>
                  </c:pt>
                  <c:pt idx="52">
                    <c:v>0.25</c:v>
                  </c:pt>
                  <c:pt idx="53">
                    <c:v>0.16</c:v>
                  </c:pt>
                  <c:pt idx="54">
                    <c:v>0.3</c:v>
                  </c:pt>
                  <c:pt idx="55">
                    <c:v>0.11</c:v>
                  </c:pt>
                  <c:pt idx="56">
                    <c:v>0.26</c:v>
                  </c:pt>
                  <c:pt idx="57">
                    <c:v>0.27</c:v>
                  </c:pt>
                  <c:pt idx="58">
                    <c:v>0.21</c:v>
                  </c:pt>
                  <c:pt idx="59">
                    <c:v>0.22</c:v>
                  </c:pt>
                  <c:pt idx="60">
                    <c:v>0.21</c:v>
                  </c:pt>
                  <c:pt idx="61">
                    <c:v>0.1</c:v>
                  </c:pt>
                </c:numCache>
              </c:numRef>
            </c:minus>
            <c:spPr>
              <a:noFill/>
              <a:ln w="9525" cap="flat" cmpd="sng" algn="ctr">
                <a:solidFill>
                  <a:schemeClr val="tx1">
                    <a:lumMod val="65000"/>
                    <a:lumOff val="35000"/>
                  </a:schemeClr>
                </a:solidFill>
                <a:round/>
              </a:ln>
              <a:effectLst/>
            </c:spPr>
          </c:errBars>
          <c:cat>
            <c:strRef>
              <c:f>Sheet1!$A$2:$A$63</c:f>
              <c:strCache>
                <c:ptCount val="62"/>
                <c:pt idx="0">
                  <c:v>Aston University</c:v>
                </c:pt>
                <c:pt idx="1">
                  <c:v>Belfast Metropolitan College</c:v>
                </c:pt>
                <c:pt idx="2">
                  <c:v>University of Lincoln</c:v>
                </c:pt>
                <c:pt idx="3">
                  <c:v>University of York</c:v>
                </c:pt>
                <c:pt idx="4">
                  <c:v>University of Glasgow</c:v>
                </c:pt>
                <c:pt idx="5">
                  <c:v>Kingston University</c:v>
                </c:pt>
                <c:pt idx="6">
                  <c:v>The University of Birmingham</c:v>
                </c:pt>
                <c:pt idx="7">
                  <c:v>De Montfort University</c:v>
                </c:pt>
                <c:pt idx="8">
                  <c:v>University of Keele</c:v>
                </c:pt>
                <c:pt idx="9">
                  <c:v>The University of Sheffield</c:v>
                </c:pt>
                <c:pt idx="10">
                  <c:v>Heriot-Watt University</c:v>
                </c:pt>
                <c:pt idx="11">
                  <c:v>The University of Lancaster</c:v>
                </c:pt>
                <c:pt idx="12">
                  <c:v>The University of Liverpool</c:v>
                </c:pt>
                <c:pt idx="13">
                  <c:v>University of South Wales</c:v>
                </c:pt>
                <c:pt idx="14">
                  <c:v>Teesside University</c:v>
                </c:pt>
                <c:pt idx="15">
                  <c:v>Nottingham Trent University</c:v>
                </c:pt>
                <c:pt idx="16">
                  <c:v>South Eastern Regional College</c:v>
                </c:pt>
                <c:pt idx="17">
                  <c:v>Bangor University</c:v>
                </c:pt>
                <c:pt idx="18">
                  <c:v>University of Durham</c:v>
                </c:pt>
                <c:pt idx="19">
                  <c:v>The University of Kent</c:v>
                </c:pt>
                <c:pt idx="20">
                  <c:v>The University of Leicester</c:v>
                </c:pt>
                <c:pt idx="21">
                  <c:v>University of Northumbria at Newcastle</c:v>
                </c:pt>
                <c:pt idx="22">
                  <c:v>The University of Surrey</c:v>
                </c:pt>
                <c:pt idx="23">
                  <c:v>The University of Bradford</c:v>
                </c:pt>
                <c:pt idx="24">
                  <c:v>University of Nottingham, The</c:v>
                </c:pt>
                <c:pt idx="25">
                  <c:v>University of St Andrews</c:v>
                </c:pt>
                <c:pt idx="26">
                  <c:v>The University of Warwick</c:v>
                </c:pt>
                <c:pt idx="27">
                  <c:v>University of Bristol</c:v>
                </c:pt>
                <c:pt idx="28">
                  <c:v>The University of Hull</c:v>
                </c:pt>
                <c:pt idx="29">
                  <c:v>Manchester Metropolitan University</c:v>
                </c:pt>
                <c:pt idx="30">
                  <c:v>Queen's University of Belfast</c:v>
                </c:pt>
                <c:pt idx="31">
                  <c:v>University of Sussex</c:v>
                </c:pt>
                <c:pt idx="32">
                  <c:v>The University of Huddersfield</c:v>
                </c:pt>
                <c:pt idx="33">
                  <c:v>The University of Leeds</c:v>
                </c:pt>
                <c:pt idx="34">
                  <c:v>University College London</c:v>
                </c:pt>
                <c:pt idx="35">
                  <c:v>University of Plymouth</c:v>
                </c:pt>
                <c:pt idx="36">
                  <c:v>Sheffield Hallam University</c:v>
                </c:pt>
                <c:pt idx="37">
                  <c:v>Loughborough University</c:v>
                </c:pt>
                <c:pt idx="38">
                  <c:v>University of Newcastle upon Tyne</c:v>
                </c:pt>
                <c:pt idx="39">
                  <c:v>The University of Bath</c:v>
                </c:pt>
                <c:pt idx="40">
                  <c:v>Coventry University</c:v>
                </c:pt>
                <c:pt idx="41">
                  <c:v>University of Edinburgh</c:v>
                </c:pt>
                <c:pt idx="42">
                  <c:v>University of Greenwich</c:v>
                </c:pt>
                <c:pt idx="43">
                  <c:v>University of Southampton</c:v>
                </c:pt>
                <c:pt idx="44">
                  <c:v>The University of East Anglia</c:v>
                </c:pt>
                <c:pt idx="45">
                  <c:v>Cardiff University</c:v>
                </c:pt>
                <c:pt idx="46">
                  <c:v>Liverpool John Moores University</c:v>
                </c:pt>
                <c:pt idx="47">
                  <c:v>University of Salford, The</c:v>
                </c:pt>
                <c:pt idx="48">
                  <c:v>University of Strathclyde</c:v>
                </c:pt>
                <c:pt idx="49">
                  <c:v>The University of Reading</c:v>
                </c:pt>
                <c:pt idx="50">
                  <c:v>University of the Arts, London</c:v>
                </c:pt>
                <c:pt idx="51">
                  <c:v>University of Wolverhampton</c:v>
                </c:pt>
                <c:pt idx="52">
                  <c:v>London Metropolitan University</c:v>
                </c:pt>
                <c:pt idx="53">
                  <c:v>King's College London</c:v>
                </c:pt>
                <c:pt idx="54">
                  <c:v>University of the West of Scotland</c:v>
                </c:pt>
                <c:pt idx="55">
                  <c:v>Queen Mary University of London</c:v>
                </c:pt>
                <c:pt idx="56">
                  <c:v>University of Aberdeen</c:v>
                </c:pt>
                <c:pt idx="57">
                  <c:v>Manchester Metropolitan University</c:v>
                </c:pt>
                <c:pt idx="58">
                  <c:v>University of Brighton</c:v>
                </c:pt>
                <c:pt idx="59">
                  <c:v>Kingston University</c:v>
                </c:pt>
                <c:pt idx="60">
                  <c:v>University of Central Lancashire</c:v>
                </c:pt>
                <c:pt idx="61">
                  <c:v>Imperial College of Science, Technology and Medicine</c:v>
                </c:pt>
              </c:strCache>
            </c:strRef>
          </c:cat>
          <c:val>
            <c:numRef>
              <c:f>Sheet1!$L$2:$L$63</c:f>
              <c:numCache>
                <c:formatCode>0%</c:formatCode>
                <c:ptCount val="62"/>
                <c:pt idx="0">
                  <c:v>1</c:v>
                </c:pt>
                <c:pt idx="1">
                  <c:v>1</c:v>
                </c:pt>
                <c:pt idx="2">
                  <c:v>1</c:v>
                </c:pt>
                <c:pt idx="3">
                  <c:v>0.97</c:v>
                </c:pt>
                <c:pt idx="4">
                  <c:v>0.96</c:v>
                </c:pt>
                <c:pt idx="5">
                  <c:v>0.96</c:v>
                </c:pt>
                <c:pt idx="6">
                  <c:v>0.95</c:v>
                </c:pt>
                <c:pt idx="7">
                  <c:v>0.95</c:v>
                </c:pt>
                <c:pt idx="8">
                  <c:v>0.95</c:v>
                </c:pt>
                <c:pt idx="9">
                  <c:v>0.95</c:v>
                </c:pt>
                <c:pt idx="10">
                  <c:v>0.94</c:v>
                </c:pt>
                <c:pt idx="11">
                  <c:v>0.94</c:v>
                </c:pt>
                <c:pt idx="12">
                  <c:v>0.94</c:v>
                </c:pt>
                <c:pt idx="13">
                  <c:v>0.94</c:v>
                </c:pt>
                <c:pt idx="14">
                  <c:v>0.94</c:v>
                </c:pt>
                <c:pt idx="15">
                  <c:v>0.93</c:v>
                </c:pt>
                <c:pt idx="16">
                  <c:v>0.93</c:v>
                </c:pt>
                <c:pt idx="17">
                  <c:v>0.92</c:v>
                </c:pt>
                <c:pt idx="18">
                  <c:v>0.92</c:v>
                </c:pt>
                <c:pt idx="19">
                  <c:v>0.92</c:v>
                </c:pt>
                <c:pt idx="20">
                  <c:v>0.92</c:v>
                </c:pt>
                <c:pt idx="21">
                  <c:v>0.92</c:v>
                </c:pt>
                <c:pt idx="22">
                  <c:v>0.92</c:v>
                </c:pt>
                <c:pt idx="23">
                  <c:v>0.91</c:v>
                </c:pt>
                <c:pt idx="24">
                  <c:v>0.91</c:v>
                </c:pt>
                <c:pt idx="25">
                  <c:v>0.91</c:v>
                </c:pt>
                <c:pt idx="26">
                  <c:v>0.91</c:v>
                </c:pt>
                <c:pt idx="27">
                  <c:v>0.9</c:v>
                </c:pt>
                <c:pt idx="28">
                  <c:v>0.9</c:v>
                </c:pt>
                <c:pt idx="29">
                  <c:v>0.9</c:v>
                </c:pt>
                <c:pt idx="30">
                  <c:v>0.9</c:v>
                </c:pt>
                <c:pt idx="31">
                  <c:v>0.9</c:v>
                </c:pt>
                <c:pt idx="32">
                  <c:v>0.89</c:v>
                </c:pt>
                <c:pt idx="33">
                  <c:v>0.89</c:v>
                </c:pt>
                <c:pt idx="34">
                  <c:v>0.89</c:v>
                </c:pt>
                <c:pt idx="35">
                  <c:v>0.89</c:v>
                </c:pt>
                <c:pt idx="36">
                  <c:v>0.89</c:v>
                </c:pt>
                <c:pt idx="37">
                  <c:v>0.88</c:v>
                </c:pt>
                <c:pt idx="38">
                  <c:v>0.88</c:v>
                </c:pt>
                <c:pt idx="39">
                  <c:v>0.87</c:v>
                </c:pt>
                <c:pt idx="40">
                  <c:v>0.87</c:v>
                </c:pt>
                <c:pt idx="41">
                  <c:v>0.87</c:v>
                </c:pt>
                <c:pt idx="42">
                  <c:v>0.87</c:v>
                </c:pt>
                <c:pt idx="43">
                  <c:v>0.87</c:v>
                </c:pt>
                <c:pt idx="44">
                  <c:v>0.85</c:v>
                </c:pt>
                <c:pt idx="45">
                  <c:v>0.84</c:v>
                </c:pt>
                <c:pt idx="46">
                  <c:v>0.83</c:v>
                </c:pt>
                <c:pt idx="47">
                  <c:v>0.83</c:v>
                </c:pt>
                <c:pt idx="48">
                  <c:v>0.82</c:v>
                </c:pt>
                <c:pt idx="49">
                  <c:v>0.81</c:v>
                </c:pt>
                <c:pt idx="50">
                  <c:v>0.8</c:v>
                </c:pt>
                <c:pt idx="51">
                  <c:v>0.8</c:v>
                </c:pt>
                <c:pt idx="52">
                  <c:v>0.79</c:v>
                </c:pt>
                <c:pt idx="53">
                  <c:v>0.78</c:v>
                </c:pt>
                <c:pt idx="54">
                  <c:v>0.78</c:v>
                </c:pt>
                <c:pt idx="55">
                  <c:v>0.77</c:v>
                </c:pt>
                <c:pt idx="56">
                  <c:v>0.76</c:v>
                </c:pt>
                <c:pt idx="57">
                  <c:v>0.75</c:v>
                </c:pt>
                <c:pt idx="58">
                  <c:v>0.74</c:v>
                </c:pt>
                <c:pt idx="59">
                  <c:v>0.72</c:v>
                </c:pt>
                <c:pt idx="60">
                  <c:v>0.67</c:v>
                </c:pt>
                <c:pt idx="61">
                  <c:v>0.67</c:v>
                </c:pt>
              </c:numCache>
            </c:numRef>
          </c:val>
          <c:extLst>
            <c:ext xmlns:c16="http://schemas.microsoft.com/office/drawing/2014/chart" uri="{C3380CC4-5D6E-409C-BE32-E72D297353CC}">
              <c16:uniqueId val="{00000000-E749-4455-A45F-219B8F6F4628}"/>
            </c:ext>
          </c:extLst>
        </c:ser>
        <c:dLbls>
          <c:showLegendKey val="0"/>
          <c:showVal val="0"/>
          <c:showCatName val="0"/>
          <c:showSerName val="0"/>
          <c:showPercent val="0"/>
          <c:showBubbleSize val="0"/>
        </c:dLbls>
        <c:gapWidth val="219"/>
        <c:overlap val="-27"/>
        <c:axId val="-2079686464"/>
        <c:axId val="2100980240"/>
      </c:barChart>
      <c:catAx>
        <c:axId val="-2079686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charset="0"/>
                <a:ea typeface="Arial" charset="0"/>
                <a:cs typeface="Arial" charset="0"/>
              </a:defRPr>
            </a:pPr>
            <a:endParaRPr lang="en-US"/>
          </a:p>
        </c:txPr>
        <c:crossAx val="2100980240"/>
        <c:crosses val="autoZero"/>
        <c:auto val="1"/>
        <c:lblAlgn val="ctr"/>
        <c:lblOffset val="100"/>
        <c:noMultiLvlLbl val="0"/>
      </c:catAx>
      <c:valAx>
        <c:axId val="210098024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charset="0"/>
                <a:ea typeface="Arial" charset="0"/>
                <a:cs typeface="Arial" charset="0"/>
              </a:defRPr>
            </a:pPr>
            <a:endParaRPr lang="en-US"/>
          </a:p>
        </c:txPr>
        <c:crossAx val="-2079686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charset="0"/>
          <a:ea typeface="Arial" charset="0"/>
          <a:cs typeface="Arial"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QAA Hold Item Deleting</Name>
    <Type>3</Type>
    <SequenceNumber>1000</SequenceNumber>
    <Assembly>BlueSource.QAA.LegalHold, Version=1.0.0.0, Culture=neutral, PublicKeyToken=98e5a19c401bc91c</Assembly>
    <Class>BlueSource.QAA.LegalHold.StopOnHoldDeleteEvents</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72FC67F64C82749B195BC8158343961" ma:contentTypeVersion="1" ma:contentTypeDescription="Create a new document." ma:contentTypeScope="" ma:versionID="4b5d78e59e38af3ae6efca5c34c8fc6d">
  <xsd:schema xmlns:xsd="http://www.w3.org/2001/XMLSchema" xmlns:p="http://schemas.microsoft.com/office/2006/metadata/properties" xmlns:ns1="http://schemas.microsoft.com/sharepoint/v3" targetNamespace="http://schemas.microsoft.com/office/2006/metadata/properties" ma:root="true" ma:fieldsID="cdc29b04dd1c3fc5cb76ccbb690b3a8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F0FAD-8689-489E-90B8-0945568E24B0}">
  <ds:schemaRefs>
    <ds:schemaRef ds:uri="http://schemas.microsoft.com/sharepoint/v3/contenttype/forms"/>
  </ds:schemaRefs>
</ds:datastoreItem>
</file>

<file path=customXml/itemProps2.xml><?xml version="1.0" encoding="utf-8"?>
<ds:datastoreItem xmlns:ds="http://schemas.openxmlformats.org/officeDocument/2006/customXml" ds:itemID="{DA6FDE4B-1E8D-4543-9424-79FED0D0C3E3}">
  <ds:schemaRefs>
    <ds:schemaRef ds:uri="http://schemas.microsoft.com/sharepoint/events"/>
  </ds:schemaRefs>
</ds:datastoreItem>
</file>

<file path=customXml/itemProps3.xml><?xml version="1.0" encoding="utf-8"?>
<ds:datastoreItem xmlns:ds="http://schemas.openxmlformats.org/officeDocument/2006/customXml" ds:itemID="{52EF9607-D953-45A9-97A0-6F7A35DC4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DCB15E6-155F-44C3-9A25-5ED4929EDE6D}">
  <ds:schemaRefs>
    <ds:schemaRef ds:uri="http://schemas.microsoft.com/office/2006/metadata/properties"/>
    <ds:schemaRef ds:uri="http://schemas.microsoft.com/sharepoint/v3"/>
  </ds:schemaRefs>
</ds:datastoreItem>
</file>

<file path=customXml/itemProps5.xml><?xml version="1.0" encoding="utf-8"?>
<ds:datastoreItem xmlns:ds="http://schemas.openxmlformats.org/officeDocument/2006/customXml" ds:itemID="{96CC05AA-A8B6-4CF3-B730-840B2EF8E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QAA-Word-template</Template>
  <TotalTime>0</TotalTime>
  <Pages>4</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2019-05-22T15:03:00Z</dcterms:created>
  <dcterms:modified xsi:type="dcterms:W3CDTF">2019-05-22T15:03:00Z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0x010100672FC67F64C82749B195BC8158343961</vt:lpwstr>
  </property>
</Properties>
</file>